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6607.xml.htm"/>
      <w:bookmarkStart w:id="1" w:name="kswkform4_1778706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Vranos Michael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602"/>
        <w:gridCol w:w="1261"/>
        <w:gridCol w:w="98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161,934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1,122,952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1,889,689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38,759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 Trust</w:t>
            </w:r>
            <w:r>
              <w:rPr>
                <w:rFonts w:ascii="Times;serif" w:hAnsi="Times;serif"/>
                <w:color w:val="008000"/>
                <w:position w:val="7"/>
                <w:sz w:val="16"/>
                <w:sz w:val="20"/>
                <w:shd w:fill="FFFFFF" w:val="clear"/>
              </w:rPr>
              <w:t>(4)</w:t>
            </w:r>
            <w:r>
              <w:rPr/>
              <w:t xml:space="preserve"> </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153,998</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 Trusts</w:t>
            </w:r>
            <w:r>
              <w:rPr>
                <w:rFonts w:ascii="Times;serif" w:hAnsi="Times;serif"/>
                <w:color w:val="008000"/>
                <w:position w:val="7"/>
                <w:sz w:val="16"/>
                <w:sz w:val="20"/>
                <w:shd w:fill="FFFFFF" w:val="clear"/>
              </w:rPr>
              <w:t>(5)</w:t>
            </w:r>
            <w:r>
              <w:rPr/>
              <w:t xml:space="preserve"> </w:t>
            </w:r>
          </w:p>
        </w:tc>
      </w:tr>
    </w:tbl>
    <w:tbl>
      <w:tblPr>
        <w:tblW w:w="121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921"/>
        <w:gridCol w:w="801"/>
        <w:gridCol w:w="936"/>
        <w:gridCol w:w="831"/>
        <w:gridCol w:w="906"/>
      </w:tblGrid>
      <w:tr>
        <w:trPr>
          <w:tblHeader w:val="true"/>
        </w:trPr>
        <w:tc>
          <w:tcPr>
            <w:tcW w:w="121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$0.001 par value per share (the "Common Stock") of Ellington Financial Inc. (the "Issuer") were issued in connection with the incentive fee for the first quarter of 2026 payable to Ellington Financial Management LLC ("EFM"), the Issuer's external manager, pursuant to a management agreement among the Issuer, EFM, and Ellington Financial Operating Partnership LLP ("EFCOP").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these 1,122,952 common shares, 842,221 common shares are owned directly by EMG Holdings, L.P. ("EMGH") and 280,731 common shares are directly owned by EFM. VC Investments LLC ("VC") is the general partner of EMGH and the managing member of EFM. Michael W. Vranos is the managing member of, and holds a controlling interest in, VC. Michael W. Vranos and VC together share the power to direct the voting and disposition of common shares held by EMGH and EFM, and may be regarded as the beneficial owners of the common shares. Each of Michael W. Vranos and VC disclaims beneficial ownership of any common shares owned beneficially or of record by each other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Vranos is the managing member of an entity that holds these shares for estate planning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Common Stock are held by an entity owned by a family trust of which Laurence Penn is a settlor and for which Mr. Vranos serves as a trustee (the "Penn Family Trust"). Mr. Vranos has certain consent rights with respect to transfers of shares of Common Stock held by the Penn Family Trust. Mr. Vranos disclaims any pecuniary interest in the shares of Common Stock held by the Penn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are held in family trusts established by EMGH partners (other than Mr. Vranos) for which Mr. Vranos acts as trustee. One of the trusts, in which Mr. Vranos has sole voting power, owns a portion of the shares and the other trusts, which Mr. Vranos has shared voting power, hold the remaining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separate non-voting class of limited liability company interests ("OP LTIP Units") of EFCOP. Each OP LTIP Unit is convertible into limited liability company interest of EFCOP (a "Common Unit") on a one-for-one basis. Subject to certain conditions, the Common Units are redeemable by the holder for an equivalent number of shares of Common Stock or for the cash value of such shares of Common Stock, at the Company's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OP LTIP Units are held by EMGH. Mr. Vranos and VC together share the power to direct the voting and disposition of OP LTIP Units held by EMGH, and may be regarded as the beneficial owners of the OP LTIP Units. Each of Mr. Vranos and VC disclaims beneficial ownership of any OP LTIP Units owned beneficially or of record by each other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Common Units of EFCOP. Subject to certain conditions, the Common Units are redeemable by the holder for an equivalent number of shares of Common Stock or for the cash value of such shares of Common Stock, at the Company's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Common Units are held by EMGH. Mr. Vranos and VC together share the power to direct the voting and disposition of Common Units held by EMGH, and may be regarded as the beneficial owners of the Common Units. Each of Mr. Vranos and VC disclaims beneficial ownership of any Common Units owned beneficially or of record by each other except to the extent of his or its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H. Shilleh, attorney-in-fact for Michael W. Vranos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808"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1213</Words>
  <Characters>6204</Characters>
  <CharactersWithSpaces>7328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