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4" w:lineRule="exact"/>
        <w:rPr>
          <w:sz w:val="24"/>
          <w:szCs w:val="24"/>
          <w:color w:val="auto"/>
        </w:rPr>
      </w:pPr>
    </w:p>
    <w:p>
      <w:pPr>
        <w:spacing w:after="0" w:line="161" w:lineRule="exact"/>
        <w:tabs>
          <w:tab w:leader="none" w:pos="2480" w:val="left"/>
        </w:tabs>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204"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201"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205"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09" w:lineRule="exact"/>
        <w:rPr>
          <w:sz w:val="24"/>
          <w:szCs w:val="24"/>
          <w:color w:val="auto"/>
        </w:rPr>
      </w:pPr>
    </w:p>
    <w:p>
      <w:pPr>
        <w:ind w:left="300" w:hanging="292"/>
        <w:spacing w:after="0"/>
        <w:tabs>
          <w:tab w:leader="none" w:pos="30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Definitive Additional Materials</w:t>
      </w:r>
    </w:p>
    <w:p>
      <w:pPr>
        <w:spacing w:after="0" w:line="204" w:lineRule="exact"/>
        <w:rPr>
          <w:sz w:val="24"/>
          <w:szCs w:val="24"/>
          <w:color w:val="auto"/>
        </w:rPr>
      </w:pPr>
    </w:p>
    <w:p>
      <w:pPr>
        <w:ind w:left="280" w:hanging="272"/>
        <w:spacing w:after="0"/>
        <w:tabs>
          <w:tab w:leader="none" w:pos="2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1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Ellington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(Name of Person(s) Filing Proxy Statement, if Other Than the Registrant)</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09" w:lineRule="exact"/>
        <w:rPr>
          <w:sz w:val="24"/>
          <w:szCs w:val="24"/>
          <w:color w:val="auto"/>
        </w:rPr>
      </w:pPr>
    </w:p>
    <w:p>
      <w:pPr>
        <w:ind w:left="300" w:hanging="292"/>
        <w:spacing w:after="0"/>
        <w:tabs>
          <w:tab w:leader="none" w:pos="300" w:val="left"/>
        </w:tabs>
        <w:numPr>
          <w:ilvl w:val="0"/>
          <w:numId w:val="4"/>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No fee required</w:t>
      </w:r>
    </w:p>
    <w:p>
      <w:pPr>
        <w:spacing w:after="0" w:line="204" w:lineRule="exact"/>
        <w:rPr>
          <w:sz w:val="24"/>
          <w:szCs w:val="24"/>
          <w:color w:val="auto"/>
        </w:rPr>
      </w:pPr>
    </w:p>
    <w:p>
      <w:pPr>
        <w:ind w:left="280" w:hanging="272"/>
        <w:spacing w:after="0"/>
        <w:tabs>
          <w:tab w:leader="none" w:pos="2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below per Exchange Act Rules 14a-6(i)(1) and 0-11</w:t>
      </w:r>
    </w:p>
    <w:p>
      <w:pPr>
        <w:spacing w:after="0" w:line="82" w:lineRule="exact"/>
        <w:rPr>
          <w:rFonts w:ascii="MS PGothic" w:cs="MS PGothic" w:eastAsia="MS PGothic" w:hAnsi="MS PGothic"/>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of each class of securities to which transaction applies:</w:t>
      </w:r>
    </w:p>
    <w:p>
      <w:pPr>
        <w:spacing w:after="0" w:line="36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securities to which transaction applies:</w:t>
      </w:r>
    </w:p>
    <w:p>
      <w:pPr>
        <w:spacing w:after="0" w:line="352" w:lineRule="exact"/>
        <w:rPr>
          <w:rFonts w:ascii="Times New Roman" w:cs="Times New Roman" w:eastAsia="Times New Roman" w:hAnsi="Times New Roman"/>
          <w:sz w:val="14"/>
          <w:szCs w:val="14"/>
          <w:color w:val="auto"/>
        </w:rPr>
      </w:pPr>
    </w:p>
    <w:p>
      <w:pPr>
        <w:ind w:left="660" w:right="160" w:hanging="328"/>
        <w:spacing w:after="0" w:line="302" w:lineRule="auto"/>
        <w:tabs>
          <w:tab w:leader="none" w:pos="652"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unit price or other underlying value of transaction computed pursuant to Exchange Act Rule 0-11 (set forth the amount on which the filing fee is calculated and state how it was determined):</w:t>
      </w:r>
    </w:p>
    <w:p>
      <w:pPr>
        <w:spacing w:after="0" w:line="28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maximum aggregate value of transaction.</w:t>
      </w:r>
    </w:p>
    <w:p>
      <w:pPr>
        <w:spacing w:after="0" w:line="36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fee paid:</w:t>
      </w:r>
    </w:p>
    <w:p>
      <w:pPr>
        <w:spacing w:after="0" w:line="200" w:lineRule="exact"/>
        <w:rPr>
          <w:rFonts w:ascii="Times New Roman" w:cs="Times New Roman" w:eastAsia="Times New Roman" w:hAnsi="Times New Roman"/>
          <w:sz w:val="14"/>
          <w:szCs w:val="14"/>
          <w:color w:val="auto"/>
        </w:rPr>
      </w:pPr>
    </w:p>
    <w:p>
      <w:pPr>
        <w:spacing w:after="0" w:line="273"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203" w:lineRule="exact"/>
        <w:rPr>
          <w:rFonts w:ascii="MS PGothic" w:cs="MS PGothic" w:eastAsia="MS PGothic" w:hAnsi="MS PGothic"/>
          <w:sz w:val="14"/>
          <w:szCs w:val="14"/>
          <w:color w:val="auto"/>
        </w:rPr>
      </w:pPr>
    </w:p>
    <w:p>
      <w:pPr>
        <w:ind w:left="340" w:hanging="332"/>
        <w:spacing w:after="0" w:line="302" w:lineRule="auto"/>
        <w:tabs>
          <w:tab w:leader="none" w:pos="295"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 w:lineRule="exact"/>
        <w:rPr>
          <w:rFonts w:ascii="MS PGothic" w:cs="MS PGothic" w:eastAsia="MS PGothic" w:hAnsi="MS PGothic"/>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Previously Paid:</w:t>
      </w:r>
    </w:p>
    <w:p>
      <w:pPr>
        <w:spacing w:after="0" w:line="36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Schedule, or Registration Statement No.:</w:t>
      </w:r>
    </w:p>
    <w:p>
      <w:pPr>
        <w:spacing w:after="0" w:line="35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-2856230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-2530475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-2092960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-1758950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-1433195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-524510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-198755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135255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60"/>
          </w:cols>
          <w:pgMar w:left="320" w:top="999" w:right="419" w:bottom="1440" w:gutter="0" w:footer="0" w:header="0"/>
        </w:sectPr>
      </w:pPr>
    </w:p>
    <w:p>
      <w:pPr>
        <w:spacing w:after="0" w:line="366" w:lineRule="exact"/>
        <w:rPr>
          <w:sz w:val="24"/>
          <w:szCs w:val="24"/>
          <w:color w:val="auto"/>
        </w:rPr>
      </w:pPr>
    </w:p>
    <w:p>
      <w:pPr>
        <w:ind w:left="640" w:hanging="30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60"/>
          </w:cols>
          <w:pgMar w:left="320" w:top="999" w:right="41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577850</wp:posOffset>
            </wp:positionV>
            <wp:extent cx="5863590" cy="7586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731520</wp:posOffset>
            </wp:positionV>
            <wp:extent cx="5863590" cy="7586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2026-04-09T05:02:59Z</dcterms:created>
  <dcterms:modified xsi:type="dcterms:W3CDTF">2026-04-09T05:02:59Z</dcterms:modified>
</cp:coreProperties>
</file>