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May 5, 2026</w:t>
      </w: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ELLINGTON FINANCIAL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p>
      <w:pPr>
        <w:ind w:left="1480"/>
        <w:spacing w:after="0"/>
        <w:tabs>
          <w:tab w:leader="none" w:pos="5200" w:val="left"/>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001-34569</w:t>
      </w:r>
      <w:r>
        <w:rPr>
          <w:sz w:val="20"/>
          <w:szCs w:val="20"/>
          <w:color w:val="auto"/>
        </w:rPr>
        <w:tab/>
      </w:r>
      <w:r>
        <w:rPr>
          <w:rFonts w:ascii="Times New Roman" w:cs="Times New Roman" w:eastAsia="Times New Roman" w:hAnsi="Times New Roman"/>
          <w:sz w:val="18"/>
          <w:szCs w:val="18"/>
          <w:b w:val="1"/>
          <w:bCs w:val="1"/>
          <w:color w:val="auto"/>
        </w:rPr>
        <w:t>26-0489289</w:t>
      </w:r>
    </w:p>
    <w:p>
      <w:pPr>
        <w:spacing w:after="0" w:line="1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240"/>
        <w:spacing w:after="0"/>
        <w:tabs>
          <w:tab w:leader="none" w:pos="4600" w:val="left"/>
          <w:tab w:leader="none" w:pos="8120" w:val="left"/>
        </w:tabs>
        <w:rPr>
          <w:sz w:val="20"/>
          <w:szCs w:val="20"/>
          <w:color w:val="auto"/>
        </w:rPr>
      </w:pPr>
      <w:r>
        <w:rPr>
          <w:rFonts w:ascii="Times New Roman" w:cs="Times New Roman" w:eastAsia="Times New Roman" w:hAnsi="Times New Roman"/>
          <w:sz w:val="18"/>
          <w:szCs w:val="18"/>
          <w:color w:val="auto"/>
        </w:rPr>
        <w:t>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14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153" w:lineRule="exact"/>
        <w:rPr>
          <w:sz w:val="24"/>
          <w:szCs w:val="24"/>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60" w:right="2480" w:hanging="434"/>
        <w:spacing w:after="0" w:line="365" w:lineRule="auto"/>
        <w:tabs>
          <w:tab w:leader="none" w:pos="68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00"/>
          </w:cols>
          <w:pgMar w:left="320" w:top="999" w:right="379" w:bottom="1440" w:gutter="0" w:footer="0" w:header="0"/>
        </w:sectPr>
      </w:pPr>
    </w:p>
    <w:p>
      <w:pPr>
        <w:spacing w:after="0" w:line="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7" w:lineRule="exact"/>
        <w:rPr>
          <w:sz w:val="24"/>
          <w:szCs w:val="24"/>
          <w:color w:val="auto"/>
        </w:rPr>
      </w:pPr>
    </w:p>
    <w:p>
      <w:pPr>
        <w:ind w:left="180" w:right="1260" w:hanging="161"/>
        <w:spacing w:after="0" w:line="234" w:lineRule="auto"/>
        <w:rPr>
          <w:sz w:val="20"/>
          <w:szCs w:val="20"/>
          <w:color w:val="auto"/>
        </w:rPr>
      </w:pPr>
      <w:r>
        <w:rPr>
          <w:rFonts w:ascii="Times New Roman" w:cs="Times New Roman" w:eastAsia="Times New Roman" w:hAnsi="Times New Roman"/>
          <w:sz w:val="18"/>
          <w:szCs w:val="18"/>
          <w:color w:val="auto"/>
        </w:rPr>
        <w:t>6.250% Series B Fixed-Rate Reset Cumulative Redeemable Preferred Stock</w:t>
      </w:r>
    </w:p>
    <w:p>
      <w:pPr>
        <w:spacing w:after="0" w:line="10" w:lineRule="exact"/>
        <w:rPr>
          <w:sz w:val="24"/>
          <w:szCs w:val="24"/>
          <w:color w:val="auto"/>
        </w:rPr>
      </w:pPr>
    </w:p>
    <w:p>
      <w:pPr>
        <w:ind w:left="20" w:right="1440"/>
        <w:spacing w:after="0" w:line="256" w:lineRule="auto"/>
        <w:rPr>
          <w:sz w:val="20"/>
          <w:szCs w:val="20"/>
          <w:color w:val="auto"/>
        </w:rPr>
      </w:pPr>
      <w:r>
        <w:rPr>
          <w:rFonts w:ascii="Times New Roman" w:cs="Times New Roman" w:eastAsia="Times New Roman" w:hAnsi="Times New Roman"/>
          <w:sz w:val="17"/>
          <w:szCs w:val="17"/>
          <w:color w:val="auto"/>
        </w:rPr>
        <w:t>8.625% Series C Fixed-Rate Reset Cumulative Redeemable Preferred Stock</w:t>
      </w:r>
    </w:p>
    <w:p>
      <w:pPr>
        <w:spacing w:after="0" w:line="1" w:lineRule="exact"/>
        <w:rPr>
          <w:sz w:val="24"/>
          <w:szCs w:val="24"/>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7.00% Series D Cumulative Perpetual Redeemable Preferred Stock</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EFC</w:t>
            </w:r>
          </w:p>
        </w:tc>
        <w:tc>
          <w:tcPr>
            <w:tcW w:w="12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414"/>
        </w:trPr>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EFC PR B</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418"/>
        </w:trPr>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EFC PR 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418"/>
        </w:trPr>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EFC PRD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44" w:lineRule="exact"/>
        <w:rPr>
          <w:sz w:val="24"/>
          <w:szCs w:val="24"/>
          <w:color w:val="auto"/>
        </w:rPr>
      </w:pPr>
    </w:p>
    <w:p>
      <w:pPr>
        <w:sectPr>
          <w:pgSz w:w="11900" w:h="16838" w:orient="portrait"/>
          <w:cols w:equalWidth="0" w:num="2">
            <w:col w:w="4400" w:space="200"/>
            <w:col w:w="6600"/>
          </w:cols>
          <w:pgMar w:left="320" w:top="999" w:right="379" w:bottom="1440" w:gutter="0" w:footer="0" w:header="0"/>
          <w:type w:val="continuous"/>
        </w:sectPr>
      </w:pPr>
    </w:p>
    <w:p>
      <w:pPr>
        <w:ind w:right="20" w:firstLine="405"/>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ind w:right="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the disclosure incorporated by reference in Item 7.01 with respect to Exhibit 99.1 attached to this Current Report on Form 8-K are being furnished by Ellington Financial Inc. (the "Company") pursuant to Item 7.01 of Form 8-K in satisfaction of the public disclosure requirements of Regulation FD and Item 2.02 of Form 8-K, insofar as they disclose historical information regarding the Company's results of operations or financial condition for the quarter ended March 31, 2026.</w:t>
      </w:r>
    </w:p>
    <w:p>
      <w:pPr>
        <w:spacing w:after="0" w:line="126"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On May 5, 2026, the Company issued a press release announcing its financial results for the quarter ended March 31, 2026. A copy of the press release is furnished herewith as Exhibit 99.1 to this Current Report on Form 8-K and is incorporated herein by reference.</w:t>
      </w:r>
    </w:p>
    <w:p>
      <w:pPr>
        <w:spacing w:after="0" w:line="10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Instructions B.2 and B.6 of Form 8-K, the information included in Item 2.02 and the disclosure incorporated by reference in Item 7.01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disclosure contained in Item 2.02 is incorporated herein by reference.</w:t>
      </w:r>
    </w:p>
    <w:p>
      <w:pPr>
        <w:spacing w:after="0" w:line="26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ind w:left="660" w:hanging="24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being furnished herewith this Current Report on Form 8-K.</w:t>
      </w:r>
    </w:p>
    <w:p>
      <w:pPr>
        <w:spacing w:after="0" w:line="5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Earnings Press Release dated May 5, 2026</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297" w:lineRule="exact"/>
        <w:rPr>
          <w:sz w:val="20"/>
          <w:szCs w:val="20"/>
          <w:color w:val="auto"/>
        </w:rPr>
      </w:pPr>
    </w:p>
    <w:p>
      <w:pPr>
        <w:ind w:left="60"/>
        <w:spacing w:after="0"/>
        <w:tabs>
          <w:tab w:leader="none" w:pos="700" w:val="left"/>
          <w:tab w:leader="none" w:pos="6360" w:val="left"/>
          <w:tab w:leader="none" w:pos="720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JR Herlihy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JR Herlihy</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Financial Inc. Reports First Quarter 2026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GREENWICH, Connecticut—May 5,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Ellington Financial Inc. (NYSE: EFC) ("we") today reported financial results for the quarter ended March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91" w:lineRule="exact"/>
        <w:rPr>
          <w:sz w:val="20"/>
          <w:szCs w:val="20"/>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attributable to common stockholders of $95.5 million, or $0.78 per common share.</w:t>
      </w:r>
      <w:r>
        <w:rPr>
          <w:rFonts w:ascii="Times New Roman" w:cs="Times New Roman" w:eastAsia="Times New Roman" w:hAnsi="Times New Roman"/>
          <w:sz w:val="23"/>
          <w:szCs w:val="23"/>
          <w:color w:val="auto"/>
          <w:vertAlign w:val="superscript"/>
        </w:rPr>
        <w:t>1</w:t>
      </w:r>
    </w:p>
    <w:p>
      <w:pPr>
        <w:spacing w:after="0" w:line="41"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$76.4 million, or $0.63 per common share, from the investment portfolio.</w:t>
      </w:r>
    </w:p>
    <w:p>
      <w:pPr>
        <w:spacing w:after="0" w:line="83" w:lineRule="exact"/>
        <w:rPr>
          <w:rFonts w:ascii="Times New Roman" w:cs="Times New Roman" w:eastAsia="Times New Roman" w:hAnsi="Times New Roman"/>
          <w:sz w:val="18"/>
          <w:szCs w:val="18"/>
          <w:i w:val="1"/>
          <w:iCs w:val="1"/>
          <w:color w:val="auto"/>
        </w:rPr>
      </w:pPr>
    </w:p>
    <w:p>
      <w:pPr>
        <w:ind w:left="1620" w:hanging="316"/>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 million, or $0.61 per common share, from the credit strategy.</w:t>
      </w:r>
    </w:p>
    <w:p>
      <w:pPr>
        <w:spacing w:after="0" w:line="9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or $0.02 per common share, from the Agency strategy.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$57.5 million, or $0.47 per common share, from Longbridge.</w:t>
      </w:r>
    </w:p>
    <w:p>
      <w:pPr>
        <w:spacing w:after="0" w:line="86" w:lineRule="exact"/>
        <w:rPr>
          <w:rFonts w:ascii="Times New Roman" w:cs="Times New Roman" w:eastAsia="Times New Roman" w:hAnsi="Times New Roman"/>
          <w:sz w:val="18"/>
          <w:szCs w:val="18"/>
          <w:i w:val="1"/>
          <w:iCs w:val="1"/>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Distributable Earnings of $66.5 million, or $0.55 per common share.</w:t>
      </w:r>
      <w:r>
        <w:rPr>
          <w:rFonts w:ascii="Times New Roman" w:cs="Times New Roman" w:eastAsia="Times New Roman" w:hAnsi="Times New Roman"/>
          <w:sz w:val="23"/>
          <w:szCs w:val="23"/>
          <w:color w:val="auto"/>
          <w:vertAlign w:val="superscript"/>
        </w:rPr>
        <w:t>2</w:t>
      </w:r>
    </w:p>
    <w:p>
      <w:pPr>
        <w:spacing w:after="0" w:line="4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$70.8 million, or $0.58 per common share, from the investment portfolio.</w:t>
      </w:r>
    </w:p>
    <w:p>
      <w:pPr>
        <w:spacing w:after="0" w:line="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 million, or $0.21 per common share, from Longbridge.</w:t>
      </w:r>
    </w:p>
    <w:p>
      <w:pPr>
        <w:spacing w:after="0" w:line="90"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common share as of March 31, 2026 of $13.56, including the effects of dividends of $0.39 per common share for the quarter.</w:t>
      </w:r>
    </w:p>
    <w:p>
      <w:pPr>
        <w:spacing w:after="0" w:line="86" w:lineRule="exact"/>
        <w:rPr>
          <w:rFonts w:ascii="Times New Roman" w:cs="Times New Roman" w:eastAsia="Times New Roman" w:hAnsi="Times New Roman"/>
          <w:sz w:val="18"/>
          <w:szCs w:val="18"/>
          <w:color w:val="auto"/>
        </w:rPr>
      </w:pPr>
    </w:p>
    <w:p>
      <w:pPr>
        <w:ind w:left="460" w:right="640" w:hanging="331"/>
        <w:spacing w:after="0" w:line="237" w:lineRule="auto"/>
        <w:tabs>
          <w:tab w:leader="none" w:pos="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debt-to-equity ratio</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1.9:1 as of March 31, 2026. Including all recourse and non-recourse borrowings, which primarily consist of securitization-related liabilities, debt-to-equity ratio of 9.0:1</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30% of total recourse borrowings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are long-term and non-mark-to-market</w:t>
      </w:r>
    </w:p>
    <w:p>
      <w:pPr>
        <w:spacing w:after="0" w:line="41" w:lineRule="exact"/>
        <w:rPr>
          <w:rFonts w:ascii="Arial" w:cs="Arial" w:eastAsia="Arial" w:hAnsi="Arial"/>
          <w:sz w:val="22"/>
          <w:szCs w:val="22"/>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of total recourse borrowings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are unsecured</w:t>
      </w:r>
    </w:p>
    <w:p>
      <w:pPr>
        <w:spacing w:after="0" w:line="6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Weighted average remaining term of repo borrowings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9.0 months</w:t>
      </w:r>
    </w:p>
    <w:p>
      <w:pPr>
        <w:spacing w:after="0" w:line="52" w:lineRule="exact"/>
        <w:rPr>
          <w:rFonts w:ascii="Arial" w:cs="Arial" w:eastAsia="Arial" w:hAnsi="Arial"/>
          <w:sz w:val="22"/>
          <w:szCs w:val="22"/>
          <w:color w:val="auto"/>
        </w:rPr>
      </w:pPr>
    </w:p>
    <w:p>
      <w:pPr>
        <w:ind w:left="460" w:right="940" w:hanging="331"/>
        <w:spacing w:after="0" w:line="219" w:lineRule="auto"/>
        <w:tabs>
          <w:tab w:leader="none" w:pos="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unencumbered assets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$1.92 billion, consisting of cash and cash equivalents of $163.2 million and other unencumbered assets of $1.75 billion as of March 31,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Results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"Ellington Financial delivered an exceptionally strong first quarter, generating excellent results even as market volatility rose," said Laurence Penn, Chief Executive Officer and President. "Broad-based contributions across our diversified portfolio drove robust GAAP net income, an annualized economic return of 26%, and book value per share appreciation of 3% net of dividends. Adjusted distributable earnings continued to outpace dividends, supported by high yields and steady credit performance from our loan portfolios, as well as securitization gains at Longbridge. Our Longbridge segment had a tremendous quarter, contributing $0.47 per share to net income and $0.21 per share to ADE for the quarter.</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securitization platform continued to operate at an energetic pace during the quarter, as we participated in seven transactions totaling more than $2.8 billion, well above the volume in the comparable period of 2025. Our shift to larger deal sizes, without compromising speed to market, reflects the ongoing scaling of our origination platform. This has translated directly into improved execution economics, as fixed transaction costs are spread across larger pool balances, and as bigger transactions attract a broader and deeper institutional investor base. Greater market presence also enables us to lock in attractive, long-term, non-mark-to-market financing at even more attractive terms.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end of January, we raised common equity on an accretive basis with a highly targeted use of proceeds, namely retiring our highest-cost preferred equity. We will monitor the preferred equity market with an eye toward potentially issuing additional preferred equity at a lower cost. Meanwhile, following the successful completion of our inaugural Moody’s- and Fitch-rated long-term debt deal in the fourth quarter of last year, we have meaningfully enhanced our ability to access the long-term institutional debt markets. Collectively, these actions have further strengthened our balance sheet and enhanced our financial flexibility, positioning us to act decisively, including capitalizing on the compelling investment opportunities emerging from the current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4" w:lineRule="exact"/>
        <w:rPr>
          <w:sz w:val="20"/>
          <w:szCs w:val="20"/>
          <w:color w:val="auto"/>
        </w:rPr>
      </w:pPr>
    </w:p>
    <w:p>
      <w:pPr>
        <w:ind w:left="80" w:hanging="72"/>
        <w:spacing w:after="0" w:line="197" w:lineRule="auto"/>
        <w:tabs>
          <w:tab w:leader="none" w:pos="9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$133.9 million of aggregate net income from the investment portfolio and Longbridge segments, less $38.4 million of preferred dividends accrued and certain corporate/other income and expense items not attributed to either the investment portfolio or Longbridge segments.</w:t>
      </w:r>
    </w:p>
    <w:p>
      <w:pPr>
        <w:spacing w:after="0" w:line="29" w:lineRule="exact"/>
        <w:rPr>
          <w:sz w:val="20"/>
          <w:szCs w:val="20"/>
          <w:color w:val="auto"/>
        </w:rPr>
      </w:pPr>
    </w:p>
    <w:p>
      <w:pPr>
        <w:jc w:val="both"/>
        <w:ind w:left="80" w:right="420" w:hanging="72"/>
        <w:spacing w:after="0" w:line="220" w:lineRule="auto"/>
        <w:tabs>
          <w:tab w:leader="none" w:pos="10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Adjusted Distributable Earnings is a non-GAAP financial measure. See "Reconciliation of Net Income (Loss) to Adjusted Distributable Earnings" below for an explanation regarding the calculation of Adjusted Distributable Earnings. Represents $96.3 million of aggregate Adjusted Distributable Earnings from the investment portfolio and Longbridge segments, less $29.8 million of certain corporate/other items not attributed to either the investment portfolio or Longbridge segments.</w:t>
      </w:r>
    </w:p>
    <w:p>
      <w:pPr>
        <w:ind w:left="120" w:hanging="112"/>
        <w:spacing w:after="0" w:line="197" w:lineRule="auto"/>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borrowings collateralized by U.S. Treasury securities.</w:t>
      </w:r>
    </w:p>
    <w:p>
      <w:pPr>
        <w:spacing w:after="0" w:line="28" w:lineRule="exact"/>
        <w:rPr>
          <w:sz w:val="20"/>
          <w:szCs w:val="20"/>
          <w:color w:val="auto"/>
        </w:rPr>
      </w:pPr>
    </w:p>
    <w:p>
      <w:pPr>
        <w:ind w:left="80" w:right="60" w:hanging="72"/>
        <w:spacing w:after="0" w:line="205" w:lineRule="auto"/>
        <w:tabs>
          <w:tab w:leader="none" w:pos="10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Total unencumbered assets is calculated in accordance with the definition of "Consolidated Unencumbered Assets" set forth in the indenture governing our 7.375% Senior Notes due September 30, 2030.</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 Segment</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investment portfolio segment generated net income of $77.6 million in the first quarter, consisting of $75.8 million from the credit strategy and $1.7 million from the Agency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w:t>
      </w:r>
    </w:p>
    <w:p>
      <w:pPr>
        <w:spacing w:after="0" w:line="8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The total adjusted long credit portfolio</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increased by 4% sequentially to $4.27 billion as of March 31, 2026. The increase was driven by purchases of non-QM loans, Agency-eligible loans, and residential transition loans; and a larger portfolio of retained RMBS. These increases were partially offset by the impact of loans sold into securitizations.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Key Highlights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jc w:val="both"/>
        <w:ind w:left="660" w:right="12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positive performance driven by higher net interest income in the credit portfolio, and net realized and unrealized gains on non-QM loans and retained tranches, closed-end second lien loans and retained tranches, and Agency-eligible loans; along with unrealized gains on commercial REO, and certain other investments.</w:t>
      </w:r>
    </w:p>
    <w:p>
      <w:pPr>
        <w:ind w:left="660" w:right="4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offsetting higher net interest income were net realized and unrealized losses on CLOs, non-Agency RMBS, non-performing and re-performing residential mortgage loans, and residential REO.</w:t>
      </w:r>
    </w:p>
    <w:p>
      <w:pPr>
        <w:ind w:left="660" w:right="5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credit performance across our loan businesses, including sequentially lower 90-day delinquency rates and continued low life-to-date realized credit losses in both our residential and commercial loan portfolios.</w:t>
      </w: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Excellent overall results from equity investments in loan originators.</w:t>
      </w:r>
    </w:p>
    <w:p>
      <w:pPr>
        <w:spacing w:after="0" w:line="14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During the quarter, the net interest margin</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on our credit portfolio increased modestly to 3.46% from 3.38%</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as slightly higher asset yields were partially offset by a slightly higher cost of funds. We continued to benefit from positive carry on our interest rate swap hedges, where we overall receive a higher floating rate and pay a lower fixed 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 Agency RMBS portfolio decreased by 3% sequentially to $197.3 million as of March 31, 2026.</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Key Highlights</w:t>
      </w:r>
      <w:r>
        <w:rPr>
          <w:rFonts w:ascii="Times New Roman" w:cs="Times New Roman" w:eastAsia="Times New Roman" w:hAnsi="Times New Roman"/>
          <w:sz w:val="23"/>
          <w:szCs w:val="23"/>
          <w:i w:val="1"/>
          <w:iCs w:val="1"/>
          <w:color w:val="auto"/>
          <w:vertAlign w:val="superscript"/>
        </w:rPr>
        <w:t>6</w:t>
      </w:r>
      <w:r>
        <w:rPr>
          <w:rFonts w:ascii="Times New Roman" w:cs="Times New Roman" w:eastAsia="Times New Roman" w:hAnsi="Times New Roman"/>
          <w:sz w:val="18"/>
          <w:szCs w:val="18"/>
          <w:i w:val="1"/>
          <w:iCs w:val="1"/>
          <w:color w:val="auto"/>
        </w:rPr>
        <w:t>:</w:t>
      </w:r>
    </w:p>
    <w:p>
      <w:pPr>
        <w:spacing w:after="0" w:line="44" w:lineRule="exact"/>
        <w:rPr>
          <w:sz w:val="20"/>
          <w:szCs w:val="20"/>
          <w:color w:val="auto"/>
        </w:rPr>
      </w:pPr>
    </w:p>
    <w:p>
      <w:pPr>
        <w:ind w:left="660" w:right="10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driven by net interest income and net gains on interest rate hedges, due to the increase in interest rates quarter over quarter. These gains were partially offset by net losses on our Agency RMBS, with spreads on many Agency RMBS wider during the quarter.</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Pay-ups on our specified pools increased to 0.83% as of March 31, 2026, from 0.79% as of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interest margin</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on our Agency portfolio (excluding the Catch-up Amortization Adjustment) decreased to 1.47% as of March 31, 2026, from</w:t>
      </w:r>
    </w:p>
    <w:p>
      <w:pPr>
        <w:ind w:right="60"/>
        <w:spacing w:after="0" w:line="224" w:lineRule="auto"/>
        <w:rPr>
          <w:sz w:val="20"/>
          <w:szCs w:val="20"/>
          <w:color w:val="auto"/>
        </w:rPr>
      </w:pPr>
      <w:r>
        <w:rPr>
          <w:rFonts w:ascii="Times New Roman" w:cs="Times New Roman" w:eastAsia="Times New Roman" w:hAnsi="Times New Roman"/>
          <w:sz w:val="18"/>
          <w:szCs w:val="18"/>
          <w:color w:val="auto"/>
        </w:rPr>
        <w:t>1.90%</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as of December 31, 2025, driven by a higher cost of funds. We continued to benefit from positive carry on our interest rate swap hedges, where we overall receive a higher floating rate and pay a lower fixed rate, but that benefit declined during the quarter, contributing to the higher cost of funds.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Longbridge Segment</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Longbridge segment reported net income of $57.5 million for the first quarter. The Longbridge portfolio (excluding non-retained tranches of consolidated securitization trusts) increased by 13% sequentially to $695.1 million as of March 31, 2026, driven by continued strong proprietary reverse mortgage loan origination volumes, partially offset by the impact of a securitization of proprietary reverse mortgage loans completed during the quarter. Longbridge originated $515.4 million of new loans during the quarter, which was a 52% increase from the same period in 2025.</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Key Highlights</w:t>
      </w:r>
      <w:r>
        <w:rPr>
          <w:rFonts w:ascii="Times New Roman" w:cs="Times New Roman" w:eastAsia="Times New Roman" w:hAnsi="Times New Roman"/>
          <w:sz w:val="23"/>
          <w:szCs w:val="23"/>
          <w:i w:val="1"/>
          <w:iCs w:val="1"/>
          <w:color w:val="auto"/>
          <w:vertAlign w:val="superscript"/>
        </w:rPr>
        <w:t>6</w:t>
      </w:r>
      <w:r>
        <w:rPr>
          <w:rFonts w:ascii="Times New Roman" w:cs="Times New Roman" w:eastAsia="Times New Roman" w:hAnsi="Times New Roman"/>
          <w:sz w:val="18"/>
          <w:szCs w:val="18"/>
          <w:i w:val="1"/>
          <w:iCs w:val="1"/>
          <w:color w:val="auto"/>
        </w:rPr>
        <w:t>:</w:t>
      </w:r>
    </w:p>
    <w:p>
      <w:pPr>
        <w:spacing w:after="0" w:line="44" w:lineRule="exact"/>
        <w:rPr>
          <w:sz w:val="20"/>
          <w:szCs w:val="20"/>
          <w:color w:val="auto"/>
        </w:rPr>
      </w:pPr>
    </w:p>
    <w:p>
      <w:pPr>
        <w:ind w:left="660" w:right="28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contribution from originations, supported by continued robust origination volumes and margins, and net gains related to the proprietary reverse mortgage loan securitization completed during the quarter.</w:t>
      </w:r>
    </w:p>
    <w:p>
      <w:pPr>
        <w:ind w:left="660" w:right="28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contribution from servicing, reflecting: (i) strong tail securitization executions; (ii) a net gain on the HMBS MSR, driven primarily by tighter HMBS yield spreads; and (iii) steady base servicing net income.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related to the settlement of a lawsuit, pursuant to which Longbridge received a payment of $17.0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gains on interest rate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1"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non-retained tranches of consolidated securitization trusts.</w:t>
      </w:r>
    </w:p>
    <w:p>
      <w:pPr>
        <w:ind w:left="120" w:hanging="112"/>
        <w:spacing w:after="0" w:line="188" w:lineRule="auto"/>
        <w:tabs>
          <w:tab w:leader="none" w:pos="1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Sector-level results include associated financing costs and hedging gains/losses where applicable.</w:t>
      </w:r>
    </w:p>
    <w:p>
      <w:pPr>
        <w:spacing w:after="0" w:line="14" w:lineRule="exact"/>
        <w:rPr>
          <w:sz w:val="20"/>
          <w:szCs w:val="20"/>
          <w:color w:val="auto"/>
        </w:rPr>
      </w:pPr>
    </w:p>
    <w:p>
      <w:pPr>
        <w:ind w:left="80" w:hanging="72"/>
        <w:spacing w:after="0" w:line="205" w:lineRule="auto"/>
        <w:tabs>
          <w:tab w:leader="none" w:pos="9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interest margin represents the weighted average asset yield less the weighted average secured financing cost of funds on such assets. It also includes the effect of actual and accrued periodic payments on interest rate swaps used to hedge the assets.</w:t>
      </w:r>
    </w:p>
    <w:p>
      <w:pPr>
        <w:ind w:left="120" w:hanging="112"/>
        <w:spacing w:after="0" w:line="196" w:lineRule="auto"/>
        <w:tabs>
          <w:tab w:leader="none" w:pos="1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Conformed to current period presentation.</w:t>
      </w:r>
    </w:p>
    <w:p>
      <w:pPr>
        <w:sectPr>
          <w:pgSz w:w="11900" w:h="16838" w:orient="portrait"/>
          <w:cols w:equalWidth="0" w:num="1">
            <w:col w:w="11200"/>
          </w:cols>
          <w:pgMar w:left="320" w:top="1089" w:right="379" w:bottom="1440" w:gutter="0" w:footer="0" w:header="0"/>
        </w:sect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00"/>
          </w:cols>
          <w:pgMar w:left="320" w:top="1089"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Corporate/Other Summary</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Results for the quarter also reflect a significant unrealized gain on our unsecured debt, driven by credit spread widening during the quarter, partially offset by an incentive fee accrued during the first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Portfolio</w:t>
      </w:r>
      <w:r>
        <w:rPr>
          <w:rFonts w:ascii="Times New Roman" w:cs="Times New Roman" w:eastAsia="Times New Roman" w:hAnsi="Times New Roman"/>
          <w:sz w:val="23"/>
          <w:szCs w:val="23"/>
          <w:b w:val="1"/>
          <w:bCs w:val="1"/>
          <w:i w:val="1"/>
          <w:iCs w:val="1"/>
          <w:color w:val="auto"/>
          <w:vertAlign w:val="superscript"/>
        </w:rPr>
        <w:t>(1)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portfolio holdings as of March 31, 2026 and December 31,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7"/>
                <w:szCs w:val="17"/>
                <w:b w:val="1"/>
                <w:bCs w:val="1"/>
                <w:color w:val="auto"/>
              </w:rPr>
              <w:t>December 31, 2025</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22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Dollar denominated:</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Agency-eligible residential mortgage loans and retained RMBS</w:t>
            </w:r>
            <w:r>
              <w:rPr>
                <w:rFonts w:ascii="Times New Roman" w:cs="Times New Roman" w:eastAsia="Times New Roman" w:hAnsi="Times New Roman"/>
                <w:sz w:val="23"/>
                <w:szCs w:val="23"/>
                <w:color w:val="auto"/>
                <w:vertAlign w:val="superscript"/>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CMBS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Commercial mortgage loans</w:t>
            </w:r>
            <w:r>
              <w:rPr>
                <w:rFonts w:ascii="Times New Roman" w:cs="Times New Roman" w:eastAsia="Times New Roman" w:hAnsi="Times New Roman"/>
                <w:sz w:val="23"/>
                <w:szCs w:val="23"/>
                <w:color w:val="auto"/>
                <w:vertAlign w:val="superscript"/>
              </w:rPr>
              <w:t>(3)(5)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765,059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Consumer loans and ABS backed by consumer loans</w:t>
            </w:r>
            <w:r>
              <w:rPr>
                <w:rFonts w:ascii="Times New Roman" w:cs="Times New Roman" w:eastAsia="Times New Roman" w:hAnsi="Times New Roman"/>
                <w:sz w:val="23"/>
                <w:szCs w:val="23"/>
                <w:color w:val="auto"/>
                <w:vertAlign w:val="superscript"/>
              </w:rPr>
              <w:t>(6)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and equity and corporate loans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Debt and equity investments in loan origination-related entities</w:t>
            </w:r>
            <w:r>
              <w:rPr>
                <w:rFonts w:ascii="Times New Roman" w:cs="Times New Roman" w:eastAsia="Times New Roman" w:hAnsi="Times New Roman"/>
                <w:sz w:val="23"/>
                <w:szCs w:val="23"/>
                <w:color w:val="auto"/>
                <w:vertAlign w:val="superscript"/>
              </w:rPr>
              <w:t>(7)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39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MSR-related investments</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176"/>
        </w:trPr>
        <w:tc>
          <w:tcPr>
            <w:tcW w:w="60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Home equity line of credit and closed-end second lien loans and retained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bscript"/>
              </w:rPr>
              <w:t>RMBS</w:t>
            </w:r>
            <w:r>
              <w:rPr>
                <w:rFonts w:ascii="Times New Roman" w:cs="Times New Roman" w:eastAsia="Times New Roman" w:hAnsi="Times New Roman"/>
                <w:sz w:val="11"/>
                <w:szCs w:val="11"/>
                <w:color w:val="auto"/>
              </w:rPr>
              <w:t>(6)(8)</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Non-QM loans and retained RMBS</w:t>
            </w:r>
            <w:r>
              <w:rPr>
                <w:rFonts w:ascii="Times New Roman" w:cs="Times New Roman" w:eastAsia="Times New Roman" w:hAnsi="Times New Roman"/>
                <w:sz w:val="23"/>
                <w:szCs w:val="23"/>
                <w:color w:val="auto"/>
                <w:vertAlign w:val="superscript"/>
              </w:rPr>
              <w:t>(3)(6)(8)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2,624,068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RMBS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Residential transition loans and other residential mortgage loans</w:t>
            </w:r>
            <w:r>
              <w:rPr>
                <w:rFonts w:ascii="Times New Roman" w:cs="Times New Roman" w:eastAsia="Times New Roman" w:hAnsi="Times New Roman"/>
                <w:sz w:val="23"/>
                <w:szCs w:val="23"/>
                <w:color w:val="auto"/>
                <w:vertAlign w:val="superscript"/>
              </w:rPr>
              <w:t>(2)(3)(4)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(9)(10)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Non-Dollar denominated: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bscript"/>
              </w:rPr>
              <w:t>RMBS</w:t>
            </w:r>
            <w:r>
              <w:rPr>
                <w:rFonts w:ascii="Times New Roman" w:cs="Times New Roman" w:eastAsia="Times New Roman" w:hAnsi="Times New Roman"/>
                <w:sz w:val="10"/>
                <w:szCs w:val="10"/>
                <w:color w:val="auto"/>
              </w:rPr>
              <w:t>(11)(12)</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residential mortgage loans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 credit portfolio</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Non-retained tranches of consolidated securitization trusts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long credit portfolio</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4,270,813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4,126,076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does not include U.S. Treasury securities, securities sold short, or financial derivatives.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Conformed to current period presentation.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REO. In accordance with U.S. GAAP, REO is not considered a financial instrument and as a result is included at the lower of cost or fair value.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residential mortgage loans include secondary market purchases of non-performing and re-performing mortgage loans.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investments in unconsolidated entities holding commercial mortgage loans and REO and corporate loans secured by commercial mortgage loans.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investments in securitization-related vehicles.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loans made to certain loan origination entities in which we hold an equity investment.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Retained RMBS represents RMBS issued by non-consolidated Ellington-sponsored loan securitization trusts, and interests in entities holding such RMBS.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investment in Ellington affiliate.</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investment in an unconsolidated entity which purchases certain other loans for eventual securitization.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to an entity which purchases residential mortgage loans for eventual securitization.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investment in an unconsolidated entity holding European RMBS.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RMBS Portfolio</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summarizes our Agency RMBS portfolio holdings as of March 31, 2026 and December 31, 2025:</w:t>
      </w: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751"/>
              <w:spacing w:after="0" w:line="233" w:lineRule="exact"/>
              <w:rPr>
                <w:sz w:val="20"/>
                <w:szCs w:val="20"/>
                <w:color w:val="auto"/>
              </w:rPr>
            </w:pPr>
            <w:r>
              <w:rPr>
                <w:rFonts w:ascii="Times New Roman" w:cs="Times New Roman" w:eastAsia="Times New Roman" w:hAnsi="Times New Roman"/>
                <w:sz w:val="17"/>
                <w:szCs w:val="17"/>
                <w:b w:val="1"/>
                <w:bCs w:val="1"/>
                <w:color w:val="auto"/>
              </w:rPr>
              <w:t>December 31, 2025</w:t>
            </w:r>
            <w:r>
              <w:rPr>
                <w:rFonts w:ascii="Times New Roman" w:cs="Times New Roman" w:eastAsia="Times New Roman" w:hAnsi="Times New Roman"/>
                <w:sz w:val="22"/>
                <w:szCs w:val="22"/>
                <w:b w:val="1"/>
                <w:bCs w:val="1"/>
                <w:color w:val="auto"/>
                <w:vertAlign w:val="superscript"/>
              </w:rPr>
              <w:t>(2)</w:t>
            </w: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19"/>
                <w:szCs w:val="19"/>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80" w:type="dxa"/>
            <w:vAlign w:val="bottom"/>
          </w:tcPr>
          <w:p>
            <w:pPr>
              <w:jc w:val="right"/>
              <w:ind w:right="651"/>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620" w:type="dxa"/>
            <w:vAlign w:val="bottom"/>
          </w:tcPr>
          <w:p>
            <w:pPr>
              <w:jc w:val="right"/>
              <w:ind w:right="631"/>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Agency RMBS: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196,756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203,077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Reverse mortgages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 Agency RMBS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197,316</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203,633</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does not include U.S. Treasury securities, securities sold short, or financial derivatives.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Conformed to current period presentation. Agency IO's are included in Other RMBS in the credit portfolio table above.</w:t>
      </w:r>
    </w:p>
    <w:p>
      <w:pPr>
        <w:sectPr>
          <w:pgSz w:w="11900" w:h="16838" w:orient="portrait"/>
          <w:cols w:equalWidth="0" w:num="1">
            <w:col w:w="11240"/>
          </w:cols>
          <w:pgMar w:left="320" w:top="1008" w:right="3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00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Longbridge Portfolio</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Longbridge originates reverse mortgage loans, including (i) home equity conversion mortgage loans, or "HECMs," which are insured by the FHA, and (ii) "proprietary reverse mortgage loans," which are not insured by the FHA. HECMs are eligible for inclusion in GNMA-guaranteed HECM-backed MBS, or "HMBS." Upon securitization, the HECMs remain on our balance sheet under GAAP. We have securitized some of the proprietary reverse mortgage loans originated by Longbridge, and we have retained certain of the securitization tranches in compliance with credit risk retention rules. Longbridge has typically retained the MSRs associated with the loans it has originated. Longbridge also originates home equity lines of credit, or "HELOCs," designed for homeowners aged 62 or older.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loan-related assets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the Longbridge segment as of March 31, 2026 and December 31, 2025: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90"/>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20" w:type="dxa"/>
            <w:vAlign w:val="bottom"/>
            <w:gridSpan w:val="4"/>
          </w:tcPr>
          <w:p>
            <w:pPr>
              <w:jc w:val="right"/>
              <w:ind w:right="159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6"/>
        </w:trPr>
        <w:tc>
          <w:tcPr>
            <w:tcW w:w="70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HMBS assets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10,893,878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10,524,652</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HMBS liabilities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(10,765,668)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(10,406,332)</w:t>
            </w:r>
          </w:p>
        </w:tc>
      </w:tr>
      <w:tr>
        <w:trPr>
          <w:trHeight w:val="223"/>
        </w:trPr>
        <w:tc>
          <w:tcPr>
            <w:tcW w:w="70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HMBS MSR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118,320</w:t>
            </w:r>
          </w:p>
        </w:tc>
      </w:tr>
      <w:tr>
        <w:trPr>
          <w:trHeight w:val="223"/>
        </w:trPr>
        <w:tc>
          <w:tcPr>
            <w:tcW w:w="70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Unsecuritized HECM loans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174,046</w:t>
            </w:r>
          </w:p>
        </w:tc>
      </w:tr>
      <w:tr>
        <w:trPr>
          <w:trHeight w:val="229"/>
        </w:trPr>
        <w:tc>
          <w:tcPr>
            <w:tcW w:w="7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Proprietary reverse mortgage loans</w:t>
            </w:r>
            <w:r>
              <w:rPr>
                <w:rFonts w:ascii="Times New Roman" w:cs="Times New Roman" w:eastAsia="Times New Roman" w:hAnsi="Times New Roman"/>
                <w:sz w:val="23"/>
                <w:szCs w:val="23"/>
                <w:color w:val="auto"/>
                <w:vertAlign w:val="superscript"/>
              </w:rPr>
              <w:t>(5)(6)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1,687,801</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 MSRs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28,913</w:t>
            </w:r>
          </w:p>
        </w:tc>
      </w:tr>
      <w:tr>
        <w:trPr>
          <w:trHeight w:val="230"/>
        </w:trPr>
        <w:tc>
          <w:tcPr>
            <w:tcW w:w="7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Unsecuritized REO</w:t>
            </w:r>
            <w:r>
              <w:rPr>
                <w:rFonts w:ascii="Times New Roman" w:cs="Times New Roman" w:eastAsia="Times New Roman" w:hAnsi="Times New Roman"/>
                <w:sz w:val="23"/>
                <w:szCs w:val="23"/>
                <w:color w:val="auto"/>
                <w:vertAlign w:val="superscript"/>
              </w:rPr>
              <w:t>(6)</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23"/>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2,013,822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Non-retained tranches of consolidated securitization trusts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1,396,607</w:t>
            </w:r>
          </w:p>
        </w:tc>
      </w:tr>
      <w:tr>
        <w:trPr>
          <w:trHeight w:val="22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excluding non-retained tranches of consolidated securitization trusts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695,099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617,215</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does not include financial derivatives or loan commitments.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HECM loans, related REO, and claims or other receivables.</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Longbridge pools HECM loans into HMBS, such transfers do not qualify as sales under U.S. GAAP, and as a result, such transactions are treated as secured borrowings on our Consolidated Balance Sheet; the pooled HECM loans are included in Loans, at fair value, and the related liabilities are reflected as HMBS-related obligations, at fair value. After pooling the HECM loans into HMBS, Longbridge retains the mortgage servicing rights associated with such HECM loans (the "HMBS MSR").</w:t>
      </w:r>
    </w:p>
    <w:p>
      <w:pPr>
        <w:spacing w:after="0" w:line="1" w:lineRule="exact"/>
        <w:rPr>
          <w:rFonts w:ascii="Times New Roman" w:cs="Times New Roman" w:eastAsia="Times New Roman" w:hAnsi="Times New Roman"/>
          <w:sz w:val="14"/>
          <w:szCs w:val="14"/>
          <w:color w:val="auto"/>
        </w:rPr>
      </w:pPr>
    </w:p>
    <w:p>
      <w:pPr>
        <w:ind w:left="340" w:right="620" w:hanging="332"/>
        <w:spacing w:after="0" w:line="251"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includes $21.7 million of active HECM buyout loans, $19.9 million of inactive HECM buyout loans, and $6.6 million of other inactive HECM loans. As of December 31, 2025, includes $28.5 million of active HECM buyout loans, $19.0 million of inactive HECM buyout loans, and $6.1 million of other inactive HECM loans.</w:t>
      </w:r>
    </w:p>
    <w:p>
      <w:pPr>
        <w:ind w:left="340" w:right="60" w:hanging="332"/>
        <w:spacing w:after="0" w:line="261"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includes $1.6 billion of securitized proprietary reverse mortgage loans and related REO, $26.2 million of cash held in a securitization reserve fund, and $13.9 million of investment related receivables. As of December 31, 2025, includes $1.4 billion of securitized proprietary reverse mortgage loans and related REO, $26.0 million of cash held in a securitization reserve fund, and $19.9 million of investment related receivables.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U.S. GAAP, REO is not considered a financial instrument and as a result is included at the lower of cost or fair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Longbridge's origination volumes by channel for the three-month periods ended March 31, 2026 and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ind w:right="1172"/>
              <w:spacing w:after="0"/>
              <w:rPr>
                <w:sz w:val="20"/>
                <w:szCs w:val="20"/>
                <w:color w:val="auto"/>
              </w:rPr>
            </w:pPr>
            <w:r>
              <w:rPr>
                <w:rFonts w:ascii="Times New Roman" w:cs="Times New Roman" w:eastAsia="Times New Roman" w:hAnsi="Times New Roman"/>
                <w:sz w:val="17"/>
                <w:szCs w:val="17"/>
                <w:b w:val="1"/>
                <w:bCs w:val="1"/>
                <w:color w:val="auto"/>
                <w:w w:val="99"/>
              </w:rPr>
              <w:t>March 31, 2026</w:t>
            </w: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ind w:right="1192"/>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line="163" w:lineRule="exact"/>
              <w:rPr>
                <w:sz w:val="20"/>
                <w:szCs w:val="20"/>
                <w:color w:val="auto"/>
              </w:rPr>
            </w:pPr>
            <w:r>
              <w:rPr>
                <w:rFonts w:ascii="Times New Roman" w:cs="Times New Roman" w:eastAsia="Times New Roman" w:hAnsi="Times New Roman"/>
                <w:sz w:val="17"/>
                <w:szCs w:val="17"/>
                <w:b w:val="1"/>
                <w:bCs w:val="1"/>
                <w:color w:val="auto"/>
                <w:w w:val="99"/>
              </w:rPr>
              <w:t>New Loan</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 of New Loan</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60"/>
              <w:spacing w:after="0" w:line="163" w:lineRule="exact"/>
              <w:rPr>
                <w:sz w:val="20"/>
                <w:szCs w:val="20"/>
                <w:color w:val="auto"/>
              </w:rPr>
            </w:pPr>
            <w:r>
              <w:rPr>
                <w:rFonts w:ascii="Times New Roman" w:cs="Times New Roman" w:eastAsia="Times New Roman" w:hAnsi="Times New Roman"/>
                <w:sz w:val="17"/>
                <w:szCs w:val="17"/>
                <w:b w:val="1"/>
                <w:bCs w:val="1"/>
                <w:color w:val="auto"/>
                <w:w w:val="99"/>
              </w:rPr>
              <w:t>New Loan</w:t>
            </w: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b w:val="1"/>
                <w:bCs w:val="1"/>
                <w:color w:val="auto"/>
              </w:rPr>
              <w:t>% of New Loan</w:t>
            </w:r>
          </w:p>
        </w:tc>
        <w:tc>
          <w:tcPr>
            <w:tcW w:w="0" w:type="dxa"/>
            <w:vAlign w:val="bottom"/>
          </w:tcPr>
          <w:p>
            <w:pPr>
              <w:spacing w:after="0"/>
              <w:rPr>
                <w:sz w:val="1"/>
                <w:szCs w:val="1"/>
                <w:color w:val="auto"/>
              </w:rPr>
            </w:pPr>
          </w:p>
        </w:tc>
      </w:tr>
      <w:tr>
        <w:trPr>
          <w:trHeight w:val="174"/>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Channel</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7"/>
                <w:szCs w:val="17"/>
                <w:b w:val="1"/>
                <w:bCs w:val="1"/>
                <w:color w:val="auto"/>
              </w:rPr>
              <w:t>Origination</w:t>
            </w:r>
          </w:p>
        </w:tc>
        <w:tc>
          <w:tcPr>
            <w:tcW w:w="1700" w:type="dxa"/>
            <w:vAlign w:val="bottom"/>
            <w:gridSpan w:val="2"/>
            <w:vMerge w:val="continue"/>
          </w:tcPr>
          <w:p>
            <w:pPr>
              <w:spacing w:after="0"/>
              <w:rPr>
                <w:sz w:val="15"/>
                <w:szCs w:val="15"/>
                <w:color w:val="auto"/>
              </w:rPr>
            </w:pP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7"/>
                <w:szCs w:val="17"/>
                <w:b w:val="1"/>
                <w:bCs w:val="1"/>
                <w:color w:val="auto"/>
              </w:rPr>
              <w:t>Origination</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40"/>
              <w:spacing w:after="0" w:line="229" w:lineRule="exact"/>
              <w:rPr>
                <w:sz w:val="20"/>
                <w:szCs w:val="20"/>
                <w:color w:val="auto"/>
              </w:rPr>
            </w:pPr>
            <w:r>
              <w:rPr>
                <w:rFonts w:ascii="Times New Roman" w:cs="Times New Roman" w:eastAsia="Times New Roman" w:hAnsi="Times New Roman"/>
                <w:sz w:val="17"/>
                <w:szCs w:val="17"/>
                <w:b w:val="1"/>
                <w:bCs w:val="1"/>
                <w:color w:val="auto"/>
                <w:w w:val="92"/>
              </w:rPr>
              <w:t>Volume</w:t>
            </w:r>
            <w:r>
              <w:rPr>
                <w:rFonts w:ascii="Times New Roman" w:cs="Times New Roman" w:eastAsia="Times New Roman" w:hAnsi="Times New Roman"/>
                <w:sz w:val="22"/>
                <w:szCs w:val="22"/>
                <w:b w:val="1"/>
                <w:bCs w:val="1"/>
                <w:color w:val="auto"/>
                <w:w w:val="92"/>
                <w:vertAlign w:val="superscript"/>
              </w:rPr>
              <w:t>(1)</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Origination Volume</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80"/>
              <w:spacing w:after="0" w:line="229" w:lineRule="exact"/>
              <w:rPr>
                <w:sz w:val="20"/>
                <w:szCs w:val="20"/>
                <w:color w:val="auto"/>
              </w:rPr>
            </w:pPr>
            <w:r>
              <w:rPr>
                <w:rFonts w:ascii="Times New Roman" w:cs="Times New Roman" w:eastAsia="Times New Roman" w:hAnsi="Times New Roman"/>
                <w:sz w:val="17"/>
                <w:szCs w:val="17"/>
                <w:b w:val="1"/>
                <w:bCs w:val="1"/>
                <w:color w:val="auto"/>
                <w:w w:val="92"/>
              </w:rPr>
              <w:t>Volume</w:t>
            </w:r>
            <w:r>
              <w:rPr>
                <w:rFonts w:ascii="Times New Roman" w:cs="Times New Roman" w:eastAsia="Times New Roman" w:hAnsi="Times New Roman"/>
                <w:sz w:val="22"/>
                <w:szCs w:val="22"/>
                <w:b w:val="1"/>
                <w:bCs w:val="1"/>
                <w:color w:val="auto"/>
                <w:w w:val="92"/>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Origination Volume</w:t>
            </w:r>
          </w:p>
        </w:tc>
        <w:tc>
          <w:tcPr>
            <w:tcW w:w="0" w:type="dxa"/>
            <w:vAlign w:val="bottom"/>
          </w:tcPr>
          <w:p>
            <w:pPr>
              <w:spacing w:after="0"/>
              <w:rPr>
                <w:sz w:val="1"/>
                <w:szCs w:val="1"/>
                <w:color w:val="auto"/>
              </w:rPr>
            </w:pPr>
          </w:p>
        </w:tc>
      </w:tr>
      <w:tr>
        <w:trPr>
          <w:trHeight w:val="223"/>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and correspondent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361,697</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382,613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8"/>
                <w:szCs w:val="18"/>
                <w:color w:val="auto"/>
                <w:w w:val="99"/>
              </w:rPr>
              <w:t>153,677</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9"/>
              </w:rPr>
              <w:t>147,119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515,374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529,732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initial borrowed amounts on reverse mortgage loans.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Key Highlights:</w:t>
      </w:r>
    </w:p>
    <w:p>
      <w:pPr>
        <w:spacing w:after="0" w:line="92" w:lineRule="exact"/>
        <w:rPr>
          <w:sz w:val="20"/>
          <w:szCs w:val="20"/>
          <w:color w:val="auto"/>
        </w:rPr>
      </w:pPr>
    </w:p>
    <w:p>
      <w:pPr>
        <w:jc w:val="both"/>
        <w:ind w:left="660" w:right="1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Debt-to-Equity Ratio, excluding borrowings collateralized by U.S. Treasury securities, adjusted for unsettled purchases and sales: 1.9:1 as of both March 31, 2026 and December 31, 2025, as an increase in repo borrowings on our larger credit and Longbridge portfolios was roughly offset by higher total equity.</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Debt-to-Equity Ratio, excluding borrowings collateralized by U.S. Treasury securities, adjusted for unsettled purchases and sales: 9.0:1 as of both March 31, 2026 and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outstanding borrowings and debt-to-equity ratios as of March 31, 2026 and December 31,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ind w:left="7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80" w:type="dxa"/>
            <w:vAlign w:val="bottom"/>
          </w:tcPr>
          <w:p>
            <w:pPr>
              <w:spacing w:after="0"/>
              <w:rPr>
                <w:sz w:val="20"/>
                <w:szCs w:val="20"/>
                <w:color w:val="auto"/>
              </w:rPr>
            </w:pPr>
          </w:p>
        </w:tc>
        <w:tc>
          <w:tcPr>
            <w:tcW w:w="2800" w:type="dxa"/>
            <w:vAlign w:val="bottom"/>
            <w:gridSpan w:val="3"/>
          </w:tcPr>
          <w:p>
            <w:pPr>
              <w:jc w:val="right"/>
              <w:ind w:right="711"/>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162"/>
        </w:trPr>
        <w:tc>
          <w:tcPr>
            <w:tcW w:w="5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center"/>
              <w:ind w:right="260"/>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4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Debt-to-Equity</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center"/>
              <w:ind w:right="280"/>
              <w:spacing w:after="0" w:line="162" w:lineRule="exact"/>
              <w:rPr>
                <w:sz w:val="20"/>
                <w:szCs w:val="20"/>
                <w:color w:val="auto"/>
              </w:rPr>
            </w:pPr>
            <w:r>
              <w:rPr>
                <w:rFonts w:ascii="Times New Roman" w:cs="Times New Roman" w:eastAsia="Times New Roman" w:hAnsi="Times New Roman"/>
                <w:sz w:val="17"/>
                <w:szCs w:val="17"/>
                <w:b w:val="1"/>
                <w:bCs w:val="1"/>
                <w:color w:val="auto"/>
                <w:w w:val="99"/>
              </w:rPr>
              <w:t>Outstanding</w:t>
            </w:r>
          </w:p>
        </w:tc>
        <w:tc>
          <w:tcPr>
            <w:tcW w:w="1420" w:type="dxa"/>
            <w:vAlign w:val="bottom"/>
            <w:tcBorders>
              <w:top w:val="single" w:sz="8" w:color="auto"/>
            </w:tcBorders>
          </w:tcPr>
          <w:p>
            <w:pPr>
              <w:jc w:val="right"/>
              <w:ind w:right="71"/>
              <w:spacing w:after="0" w:line="162" w:lineRule="exact"/>
              <w:rPr>
                <w:sz w:val="20"/>
                <w:szCs w:val="20"/>
                <w:color w:val="auto"/>
              </w:rPr>
            </w:pPr>
            <w:r>
              <w:rPr>
                <w:rFonts w:ascii="Times New Roman" w:cs="Times New Roman" w:eastAsia="Times New Roman" w:hAnsi="Times New Roman"/>
                <w:sz w:val="17"/>
                <w:szCs w:val="17"/>
                <w:b w:val="1"/>
                <w:bCs w:val="1"/>
                <w:color w:val="auto"/>
              </w:rPr>
              <w:t>Debt-to-Equity</w:t>
            </w:r>
          </w:p>
        </w:tc>
      </w:tr>
      <w:tr>
        <w:trPr>
          <w:trHeight w:val="230"/>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line="229" w:lineRule="exact"/>
              <w:rPr>
                <w:sz w:val="20"/>
                <w:szCs w:val="20"/>
                <w:color w:val="auto"/>
              </w:rPr>
            </w:pPr>
            <w:r>
              <w:rPr>
                <w:rFonts w:ascii="Times New Roman" w:cs="Times New Roman" w:eastAsia="Times New Roman" w:hAnsi="Times New Roman"/>
                <w:sz w:val="17"/>
                <w:szCs w:val="17"/>
                <w:b w:val="1"/>
                <w:bCs w:val="1"/>
                <w:color w:val="auto"/>
                <w:w w:val="95"/>
              </w:rPr>
              <w:t>Borrowings</w:t>
            </w:r>
            <w:r>
              <w:rPr>
                <w:rFonts w:ascii="Times New Roman" w:cs="Times New Roman" w:eastAsia="Times New Roman" w:hAnsi="Times New Roman"/>
                <w:sz w:val="22"/>
                <w:szCs w:val="22"/>
                <w:b w:val="1"/>
                <w:bCs w:val="1"/>
                <w:color w:val="auto"/>
                <w:w w:val="95"/>
                <w:vertAlign w:val="superscript"/>
              </w:rPr>
              <w:t>(1)</w:t>
            </w:r>
          </w:p>
        </w:tc>
        <w:tc>
          <w:tcPr>
            <w:tcW w:w="152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17"/>
                <w:szCs w:val="17"/>
                <w:b w:val="1"/>
                <w:bCs w:val="1"/>
                <w:color w:val="auto"/>
                <w:w w:val="95"/>
              </w:rPr>
              <w:t>Ratio</w:t>
            </w:r>
            <w:r>
              <w:rPr>
                <w:rFonts w:ascii="Times New Roman" w:cs="Times New Roman" w:eastAsia="Times New Roman" w:hAnsi="Times New Roman"/>
                <w:sz w:val="22"/>
                <w:szCs w:val="22"/>
                <w:b w:val="1"/>
                <w:bCs w:val="1"/>
                <w:color w:val="auto"/>
                <w:w w:val="95"/>
                <w:vertAlign w:val="superscript"/>
              </w:rPr>
              <w:t>(2)</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line="229" w:lineRule="exact"/>
              <w:rPr>
                <w:sz w:val="20"/>
                <w:szCs w:val="20"/>
                <w:color w:val="auto"/>
              </w:rPr>
            </w:pPr>
            <w:r>
              <w:rPr>
                <w:rFonts w:ascii="Times New Roman" w:cs="Times New Roman" w:eastAsia="Times New Roman" w:hAnsi="Times New Roman"/>
                <w:sz w:val="17"/>
                <w:szCs w:val="17"/>
                <w:b w:val="1"/>
                <w:bCs w:val="1"/>
                <w:color w:val="auto"/>
                <w:w w:val="95"/>
              </w:rPr>
              <w:t>Borrowings</w:t>
            </w:r>
            <w:r>
              <w:rPr>
                <w:rFonts w:ascii="Times New Roman" w:cs="Times New Roman" w:eastAsia="Times New Roman" w:hAnsi="Times New Roman"/>
                <w:sz w:val="22"/>
                <w:szCs w:val="22"/>
                <w:b w:val="1"/>
                <w:bCs w:val="1"/>
                <w:color w:val="auto"/>
                <w:w w:val="95"/>
                <w:vertAlign w:val="superscript"/>
              </w:rPr>
              <w:t>(1)</w:t>
            </w:r>
          </w:p>
        </w:tc>
        <w:tc>
          <w:tcPr>
            <w:tcW w:w="1420" w:type="dxa"/>
            <w:vAlign w:val="bottom"/>
          </w:tcPr>
          <w:p>
            <w:pPr>
              <w:jc w:val="right"/>
              <w:ind w:right="351"/>
              <w:spacing w:after="0" w:line="229" w:lineRule="exact"/>
              <w:rPr>
                <w:sz w:val="20"/>
                <w:szCs w:val="20"/>
                <w:color w:val="auto"/>
              </w:rPr>
            </w:pPr>
            <w:r>
              <w:rPr>
                <w:rFonts w:ascii="Times New Roman" w:cs="Times New Roman" w:eastAsia="Times New Roman" w:hAnsi="Times New Roman"/>
                <w:sz w:val="17"/>
                <w:szCs w:val="17"/>
                <w:b w:val="1"/>
                <w:bCs w:val="1"/>
                <w:color w:val="auto"/>
              </w:rPr>
              <w:t>Ratio</w:t>
            </w:r>
            <w:r>
              <w:rPr>
                <w:rFonts w:ascii="Times New Roman" w:cs="Times New Roman" w:eastAsia="Times New Roman" w:hAnsi="Times New Roman"/>
                <w:sz w:val="22"/>
                <w:szCs w:val="22"/>
                <w:b w:val="1"/>
                <w:bCs w:val="1"/>
                <w:color w:val="auto"/>
                <w:vertAlign w:val="superscript"/>
              </w:rPr>
              <w:t>(2)</w:t>
            </w:r>
          </w:p>
        </w:tc>
      </w:tr>
      <w:tr>
        <w:trPr>
          <w:trHeight w:val="190"/>
        </w:trPr>
        <w:tc>
          <w:tcPr>
            <w:tcW w:w="5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36"/>
        </w:trPr>
        <w:tc>
          <w:tcPr>
            <w:tcW w:w="51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Recourse borrowings</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3,822,166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3,614,592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5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Non-recourse borrowings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13,891,000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13,351,910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17,713,166</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16,966,502</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03"/>
        </w:trPr>
        <w:tc>
          <w:tcPr>
            <w:tcW w:w="518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1,957,988</w:t>
            </w: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1,871,155</w:t>
            </w: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76"/>
        </w:trPr>
        <w:tc>
          <w:tcPr>
            <w:tcW w:w="5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Recourse borrowings excluding borrowings collateralized by U.S.</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Treasury securities, adjusted for unsettled purchases and sales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175"/>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borrowings excluding borrowings collateralized by U.S.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securities, adjusted for unsettled purchases and sales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bl>
    <w:p>
      <w:pPr>
        <w:spacing w:after="0" w:line="15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borrowings under repurchase agreements, other secured borrowings, other secured borrowings, at fair value, and unsecured debt, at par.</w:t>
      </w:r>
    </w:p>
    <w:p>
      <w:pPr>
        <w:spacing w:after="0" w:line="17" w:lineRule="exact"/>
        <w:rPr>
          <w:rFonts w:ascii="Times New Roman" w:cs="Times New Roman" w:eastAsia="Times New Roman" w:hAnsi="Times New Roman"/>
          <w:sz w:val="14"/>
          <w:szCs w:val="14"/>
          <w:color w:val="auto"/>
        </w:rPr>
      </w:pPr>
    </w:p>
    <w:p>
      <w:pPr>
        <w:ind w:left="340" w:right="380" w:hanging="332"/>
        <w:spacing w:after="0" w:line="259"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and overall debt-to-equity ratios are computed by dividing outstanding recourse and overall borrowings, respectively, by total equity. Debt-to-equity ratios do not account for liabilities other than debt financings.</w:t>
      </w:r>
    </w:p>
    <w:p>
      <w:pPr>
        <w:ind w:left="340" w:right="280" w:hanging="332"/>
        <w:spacing w:after="0" w:line="283"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non-recourse borrowings are secured by collateral. In the event of default under a non-recourse borrowing, the lender has a claim against the collateral but not any of the other assets held by us or our consolidated subsidiaries. In the event of default under a recourse borrowing, the lender's claim is not limited to the collateral (if 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operating results by strategy for the three-month period ended March 31,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Investment Portfolio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Investment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6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Portfolio</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Longbridge</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8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Interest income and other income</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63,111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(loss), net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(loss),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change from reverse mortgage loans and HMBS</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in unconsolidated entities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Interest rate hedges and other activity, net</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Credit hedges and other activities, net</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and transaction related expenses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75,838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77,550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57,475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(27,532)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107,493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costs of redeemed preferred stock</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attributable to non-participating non-</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74,663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76,375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57,475</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(37,385)</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96,465</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and participating non-controlling interests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 participating non-</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74,663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76,375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57,475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95,467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of common 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Weighted average shares of common stock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122,984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convertible units</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40" w:hanging="332"/>
        <w:spacing w:after="0" w:line="26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primarily consists of rental income on real estate owned, loan origination fees, and servicing income. Included in the Longbridge segment is also $17.0 million of litigation settlement income.</w:t>
      </w: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U.S. Treasury securities, if applicable.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activities include certain equity and other trading strategies and related hedges, and net realized and unrealized gains (losses) on foreign currency.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units include Operating Partnership units attributable to participating non-controlling interests.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08" w:right="33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operating results by strategy for the three-month period ended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7"/>
              </w:rPr>
              <w:t>Investment Portfolio</w:t>
            </w:r>
            <w:r>
              <w:rPr>
                <w:rFonts w:ascii="Times New Roman" w:cs="Times New Roman" w:eastAsia="Times New Roman" w:hAnsi="Times New Roman"/>
                <w:sz w:val="21"/>
                <w:szCs w:val="21"/>
                <w:b w:val="1"/>
                <w:bCs w:val="1"/>
                <w:color w:val="auto"/>
                <w:w w:val="97"/>
                <w:vertAlign w:val="superscript"/>
              </w:rPr>
              <w:t>(1)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20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6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Longbridge</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20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Interest income and other income</w:t>
            </w:r>
            <w:r>
              <w:rPr>
                <w:rFonts w:ascii="Times New Roman" w:cs="Times New Roman" w:eastAsia="Times New Roman" w:hAnsi="Times New Roman"/>
                <w:sz w:val="21"/>
                <w:szCs w:val="21"/>
                <w:color w:val="auto"/>
                <w:vertAlign w:val="superscript"/>
              </w:rPr>
              <w:t>(2)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(loss),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(loss), net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change from reverse mortgage loans and</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HMBS obligations</w:t>
            </w: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in unconsolidated entities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Interest rate hedges and other activity, net</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Credit hedges and other activities, net</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and transaction related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42,961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attributable to non-participating</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 common</w:t>
            </w: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stockholders and participating non-controlling</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attributable to participating non-</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 common</w:t>
            </w: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(loss) attributable to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60" w:type="dxa"/>
            <w:vAlign w:val="bottom"/>
            <w:vMerge w:val="continue"/>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per share of common stock</w:t>
            </w: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Weighted average shares of common stock and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convertible units</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outstanding</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108,491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Conformed to current period presentation.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primarily consists of rental income on real estate owned, loan origination fees, and servicing income.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U.S. Treasury securities, if applicable.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activities include certain equity and other trading strategies and related hedges, and net realized and unrealized gains (losses) on foreign currency.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units include Operating Partnership units attributable to participating non-controlling interests.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Ellington Financial</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will host a conference call at 11:00 a.m. Eastern Time on Wednesday, May 6, 2026, to discuss our financial results for the quarter ended March 31, 2026. To participate in the event by telephone, please dial (800) 343-4136 at least 10 minutes prior to the start time and reference the conference ID EFCQ126. International callers should dial (203) 518-9843 and reference the same conference ID. The conference call will also be webcast live over the Internet and can be accessed via the "For Investors" section of our web site at www.ellingtonfinancial.com. To listen to the live webcast, please visit www.ellingtonfinancial.com at least 15 minutes prior to the start of the call to register, download, and install necessary audio software. In connection with the release of these financial results, we also posted an investor presentation, that will accompany the conference call, on our website at www.ellingtonfinancial.com under "For Investors—Presentations."</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dial-in replay of the conference call will be available on Wednesday, May 6, 2026, at approximately 2:00 p.m. Eastern Time through Wednesday, May 13, 2026 at approximately 11:59 p.m. Eastern Time. To access this replay, please dial (800) 677-6124. International callers should dial (402) 220-0664. A replay of the conference call will also be archived on our web site at www.ellingtonfinancial.com.</w:t>
      </w:r>
    </w:p>
    <w:p>
      <w:pPr>
        <w:sectPr>
          <w:pgSz w:w="11900" w:h="16838" w:orient="portrait"/>
          <w:cols w:equalWidth="0" w:num="1">
            <w:col w:w="11240"/>
          </w:cols>
          <w:pgMar w:left="320" w:top="1012"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1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may be described from time to time in reports we file with the SEC, including reports on Forms 10-Q, 10-K and 8-K.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105" w:right="379" w:bottom="1440" w:gutter="0" w:footer="0" w:header="0"/>
        </w:sectPr>
      </w:pPr>
    </w:p>
    <w:bookmarkStart w:id="11" w:name="page12"/>
    <w:bookmarkEnd w:id="11"/>
    <w:p>
      <w:pPr>
        <w:jc w:val="center"/>
        <w:ind w:right="-159"/>
        <w:spacing w:after="0"/>
        <w:rPr>
          <w:sz w:val="20"/>
          <w:szCs w:val="20"/>
          <w:color w:val="auto"/>
        </w:rPr>
      </w:pPr>
      <w:r>
        <w:rPr>
          <w:rFonts w:ascii="Times New Roman" w:cs="Times New Roman" w:eastAsia="Times New Roman" w:hAnsi="Times New Roman"/>
          <w:sz w:val="17"/>
          <w:szCs w:val="17"/>
          <w:color w:val="auto"/>
        </w:rPr>
        <w:t>ELLINGTON FINANCIAL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0" w:type="dxa"/>
            <w:vAlign w:val="bottom"/>
          </w:tcPr>
          <w:p>
            <w:pPr>
              <w:spacing w:after="0"/>
              <w:rPr>
                <w:sz w:val="1"/>
                <w:szCs w:val="1"/>
                <w:color w:val="auto"/>
              </w:rPr>
            </w:pPr>
          </w:p>
        </w:tc>
      </w:tr>
      <w:tr>
        <w:trPr>
          <w:trHeight w:val="22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9"/>
                <w:szCs w:val="19"/>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59"/>
        </w:trPr>
        <w:tc>
          <w:tcPr>
            <w:tcW w:w="732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INCOME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interest income</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 (losses) on securities and loans,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gains (losses) on financial derivatives,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 (losses) on real estate owned,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on securities and loans,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gains (losses) on financial derivatives,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on real estate owned,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gains (losses) on other secured borrowings, at fair value,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on unsecured borrowings, at fair value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from HECM reverse mortgage loans, at fair value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156,532</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related to HMBS obligations, at fair value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(124,632)</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 income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(loss)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 management fee to affiliate, net of rebates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Incentive fee to affiliate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and transaction related expenses: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 expense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 related to Other secured borrowings, at fair value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 related to unsecured borrowings, at fair value</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72,474</w:t>
            </w:r>
          </w:p>
        </w:tc>
        <w:tc>
          <w:tcPr>
            <w:tcW w:w="0" w:type="dxa"/>
            <w:vAlign w:val="bottom"/>
          </w:tcPr>
          <w:p>
            <w:pPr>
              <w:spacing w:after="0"/>
              <w:rPr>
                <w:sz w:val="1"/>
                <w:szCs w:val="1"/>
                <w:color w:val="auto"/>
              </w:rPr>
            </w:pPr>
          </w:p>
        </w:tc>
      </w:tr>
      <w:tr>
        <w:trPr>
          <w:trHeight w:val="160"/>
        </w:trPr>
        <w:tc>
          <w:tcPr>
            <w:tcW w:w="73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Income (Loss) before Income Tax Expense (Benefit) and Earnings from Investments in</w:t>
            </w: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(losses) from investments in unconsolidated entities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 of redeemed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 outstanding</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108,491</w:t>
            </w:r>
          </w:p>
        </w:tc>
        <w:tc>
          <w:tcPr>
            <w:tcW w:w="0" w:type="dxa"/>
            <w:vAlign w:val="bottom"/>
          </w:tcPr>
          <w:p>
            <w:pPr>
              <w:spacing w:after="0"/>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 and convertible units outstanding</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109,652</w:t>
            </w:r>
          </w:p>
        </w:tc>
        <w:tc>
          <w:tcPr>
            <w:tcW w:w="0" w:type="dxa"/>
            <w:vAlign w:val="bottom"/>
          </w:tcPr>
          <w:p>
            <w:pPr>
              <w:spacing w:after="0"/>
              <w:rPr>
                <w:sz w:val="1"/>
                <w:szCs w:val="1"/>
                <w:color w:val="auto"/>
              </w:rPr>
            </w:pPr>
          </w:p>
        </w:tc>
      </w:tr>
      <w:tr>
        <w:trPr>
          <w:trHeight w:val="653"/>
        </w:trPr>
        <w:tc>
          <w:tcPr>
            <w:tcW w:w="73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847" w:right="4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t>ELLINGTON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163,224</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201,893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136,297</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1,034,882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at fair value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17,393,161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16,640,647</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commitments,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9,124</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MSR-related investments, at fair value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77,852</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servicing rights,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unconsolidated entities, at fair value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312,421</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 owned</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75,548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Financial derivatives–assets, at fair value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142,723</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Reverse repurchase agreements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453,037</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from brokers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35,919</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related receivables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177,208</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26,446</w:t>
            </w: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20,233,096</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19,352,910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sold short, at fair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297,231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272,702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agreements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2,655,444</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Financial derivatives–liabilities,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to brokers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48,104</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related payables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secured borrowings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296,398</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secured borrowings,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3,125,332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2,945,578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HMBS-related obligations, at fair value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10,765,668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10,406,332</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Unsecured borrowings,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659,832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Base management fee payable to affiliate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fee payable to affiliate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19,428</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payable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55,105</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18,275,108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17,481,755</w:t>
            </w:r>
          </w:p>
        </w:tc>
        <w:tc>
          <w:tcPr>
            <w:tcW w:w="0" w:type="dxa"/>
            <w:vAlign w:val="bottom"/>
          </w:tcPr>
          <w:p>
            <w:pPr>
              <w:spacing w:after="0"/>
              <w:rPr>
                <w:sz w:val="1"/>
                <w:szCs w:val="1"/>
                <w:color w:val="auto"/>
              </w:rPr>
            </w:pPr>
          </w:p>
        </w:tc>
      </w:tr>
      <w:tr>
        <w:trPr>
          <w:trHeight w:val="19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par value $0.001 per share, 100,000,000 shares authorized; 9,200,089 and 13,800,089 shares issued and</w:t>
            </w:r>
          </w:p>
        </w:tc>
        <w:tc>
          <w:tcPr>
            <w:tcW w:w="2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220,924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331,958</w:t>
            </w: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and $230,002 and $345,002 aggregate liquidation preference, respectively</w:t>
            </w: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par value $0.001 per share, 300,000,000 shares authorized, respectively; 124,649,023 and 113,138,860</w:t>
            </w: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shares issued and outstanding, respectively</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2,065,197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1,915,152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(412,964)</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1,920,136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1,834,259</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37,852</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36,896</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1,957,988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1,871,155</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20,233,096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19,352,910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PER SHARE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Book Value Per Common Share </w:t>
            </w:r>
            <w:r>
              <w:rPr>
                <w:rFonts w:ascii="Times New Roman" w:cs="Times New Roman" w:eastAsia="Times New Roman" w:hAnsi="Times New Roman"/>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audited financial statements as of December 31, 2025.</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and outstanding at March 31, 2026 includes 2,735,163 shares of common stock issued under our ATM program during the three-month period ended March 31,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total stockholders' equity less the aggregate liquidation preference of our preferred stock outstanding.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Distributable Earnings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calculate Adjusted Distributable Earnings as U.S. GAAP net income (loss) as adjusted for: (i) realized and unrealized gain (loss) on securities and loans, REO, mortgage servicing rights, financial derivatives (excluding periodic settlements on interest rate swaps), any borrowings carried at fair value, and foreign currency transactions; (ii) incentive fee to affiliate; (iii) Catch-up Amortization Adjustment (as defined below); (iv) non-cash equity compensation expense; (v) provision for income taxes; (vi) certain non-capitalized transaction costs; and (vii) other income or loss items that are of a non-recurring nature. For certain investments in unconsolidated entities, we include the relevant components of net operating income in Adjusted Distributable Earnings. The Catch-up Amortization Adjustment is a quarterly adjustment to premium amortization or discount accretion triggered by changes in actual and projected prepayments on our Agency RMBS (accompanied by a corresponding offsetting adjustment to realized and unrealized gains and losses). The adjustment is calculated as of the beginning of each quarter based on our then-current assumptions about cashflows and prepayments, and can vary significantly from quarter to quarter. Non-capitalized transaction costs include expenses, generally professional fees, incurred in connection with the acquisition of an investment or issuance of long-term debt. We also include in Adjusted Distributable Earnings, for all loans that we originate through Longbridge, any realized and unrealized gains (losses) on such loans up to the point of loan sale or securitization, net of sale or securitization costs; and any realized and unrealized gains (losses) on HECM buyout loans and REO related to Longbridge's servicing activities.</w:t>
      </w:r>
    </w:p>
    <w:p>
      <w:pPr>
        <w:spacing w:after="0" w:line="13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Adjusted Distributable Earnings is a supplemental non-GAAP financial measure. We believe that the presentation of Adjusted Distributable Earnings provides information useful to investors, because: (i) we believe that it is a useful indicator of both current and projected long-term financial performance, in that it excludes the impact of certain current-period earnings components that we believe are less useful in forecasting long-term performance and dividend-paying ability; (ii) we use it to evaluate the effective net yield provided (a) by our investment portfolio, after the effects of financial leverage, and</w:t>
      </w:r>
    </w:p>
    <w:p>
      <w:pPr>
        <w:spacing w:after="0" w:line="3" w:lineRule="exact"/>
        <w:rPr>
          <w:sz w:val="20"/>
          <w:szCs w:val="20"/>
          <w:color w:val="auto"/>
        </w:rPr>
      </w:pPr>
    </w:p>
    <w:p>
      <w:pPr>
        <w:ind w:right="240" w:firstLine="8"/>
        <w:spacing w:after="0" w:line="25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Longbridge, to reflect the earnings from its reverse mortgage origination and servicing operations; and (iii) we believe that presenting Adjusted Distributable Earnings assists investors in measuring and evaluating our operating performance, and comparing our operating performance to that of our residential mortgage REIT and mortgage originator peers. Please note, however, that: (I) our calculation of Adjusted Distributable Earnings may differ from the calculation of similarly titled non-GAAP financial measures by our peers, with the result that these non-GAAP financial measures might not be directly comparable; and (II) Adjusted Distributable Earnings excludes certain items that may impact the amount of cash that is actually available for distribution.</w:t>
      </w:r>
    </w:p>
    <w:p>
      <w:pPr>
        <w:spacing w:after="0" w:line="13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because Adjusted Distributable Earnings is an incomplete measure of our financial results and differs from net income (loss) computed in accordance with U.S. GAAP, it should be considered supplementary to, and not as a substitute for, net income (loss) computed in accordance with U.S. GAAP.</w:t>
      </w:r>
    </w:p>
    <w:p>
      <w:pPr>
        <w:spacing w:after="0" w:line="12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Furthermore, Adjusted Distributable Earnings is different from REIT taxable income. As a result, the determination of whether we have met the requirement to distribute at least 90% of our annual REIT taxable income (subject to certain adjustments) to our stockholders, in order to maintain our qualification as a REIT, is not based on whether we distributed 90% of our Adjusted Distributable Earnings.</w:t>
      </w:r>
    </w:p>
    <w:p>
      <w:pPr>
        <w:spacing w:after="0" w:line="12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setting our dividends, our Board of Directors considers our earnings, liquidity, financial condition, REIT distribution requirements, and financial covenants, along with other factors that the Board of Directors may deem relevant from time to time.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89" w:right="339" w:bottom="1440" w:gutter="0" w:footer="0" w:header="0"/>
        </w:sectPr>
      </w:pPr>
    </w:p>
    <w:bookmarkStart w:id="14" w:name="page15"/>
    <w:bookmarkEnd w:id="14"/>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reconciles, for the three-month periods ended March 31, 2026 and December 31, 2025, our Adjusted Distributable Earnings to the line on our Condensed Consolidated Statement of Operations entitled Net Income (Loss), which we believe is the most directly comparable U.S. GAAP measure: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Three-Month Period Ended</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line="171" w:lineRule="exact"/>
              <w:rPr>
                <w:sz w:val="20"/>
                <w:szCs w:val="20"/>
                <w:color w:val="auto"/>
              </w:rPr>
            </w:pPr>
            <w:r>
              <w:rPr>
                <w:rFonts w:ascii="Times New Roman" w:cs="Times New Roman" w:eastAsia="Times New Roman" w:hAnsi="Times New Roman"/>
                <w:sz w:val="16"/>
                <w:szCs w:val="16"/>
                <w:b w:val="1"/>
                <w:bCs w:val="1"/>
                <w:color w:val="auto"/>
                <w:w w:val="99"/>
              </w:rPr>
              <w:t>Investment</w:t>
            </w:r>
          </w:p>
        </w:tc>
        <w:tc>
          <w:tcPr>
            <w:tcW w:w="10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Longbridge</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2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4"/>
                <w:szCs w:val="14"/>
                <w:color w:val="auto"/>
              </w:rPr>
            </w:pPr>
          </w:p>
        </w:tc>
        <w:tc>
          <w:tcPr>
            <w:tcW w:w="1120" w:type="dxa"/>
            <w:vAlign w:val="bottom"/>
            <w:gridSpan w:val="2"/>
          </w:tcPr>
          <w:p>
            <w:pPr>
              <w:jc w:val="center"/>
              <w:ind w:right="340"/>
              <w:spacing w:after="0" w:line="171"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0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Longbridge</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20" w:type="dxa"/>
            <w:vAlign w:val="bottom"/>
          </w:tcPr>
          <w:p>
            <w:pPr>
              <w:spacing w:after="0"/>
              <w:rPr>
                <w:sz w:val="14"/>
                <w:szCs w:val="14"/>
                <w:color w:val="auto"/>
              </w:rPr>
            </w:pPr>
          </w:p>
        </w:tc>
        <w:tc>
          <w:tcPr>
            <w:tcW w:w="6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0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57,475</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w:t>
            </w:r>
          </w:p>
        </w:tc>
        <w:tc>
          <w:tcPr>
            <w:tcW w:w="0" w:type="dxa"/>
            <w:vAlign w:val="bottom"/>
          </w:tcPr>
          <w:p>
            <w:pPr>
              <w:spacing w:after="0"/>
              <w:rPr>
                <w:sz w:val="1"/>
                <w:szCs w:val="1"/>
                <w:color w:val="auto"/>
              </w:rPr>
            </w:pPr>
          </w:p>
        </w:tc>
      </w:tr>
      <w:tr>
        <w:trPr>
          <w:trHeight w:val="213"/>
        </w:trPr>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145"/>
        </w:trPr>
        <w:tc>
          <w:tcPr>
            <w:tcW w:w="20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before</w:t>
            </w: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57,475</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42,961</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23,967</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w w:val="99"/>
              </w:rPr>
              <w:t>Realized (gains) losses, net</w:t>
            </w:r>
            <w:r>
              <w:rPr>
                <w:rFonts w:ascii="Times New Roman" w:cs="Times New Roman" w:eastAsia="Times New Roman" w:hAnsi="Times New Roman"/>
                <w:sz w:val="21"/>
                <w:szCs w:val="21"/>
                <w:color w:val="auto"/>
                <w:w w:val="99"/>
                <w:vertAlign w:val="superscript"/>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9,870</w:t>
            </w: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Unrealized (gains) losses,</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36,547</w:t>
            </w:r>
          </w:p>
        </w:tc>
        <w:tc>
          <w:tcPr>
            <w:tcW w:w="0" w:type="dxa"/>
            <w:vAlign w:val="bottom"/>
          </w:tcPr>
          <w:p>
            <w:pPr>
              <w:spacing w:after="0"/>
              <w:rPr>
                <w:sz w:val="1"/>
                <w:szCs w:val="1"/>
                <w:color w:val="auto"/>
              </w:rPr>
            </w:pPr>
          </w:p>
        </w:tc>
      </w:tr>
      <w:tr>
        <w:trPr>
          <w:trHeight w:val="216"/>
        </w:trPr>
        <w:tc>
          <w:tcPr>
            <w:tcW w:w="20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net</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Unrealized (gains) losses on</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reverse MSRs, net of</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hedging (gains) losses</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fee to affiliate</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Negative (positive)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component of interest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income represented by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Catch-up Amortization</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 related to</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consolidated proprietary</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reverse mortgage loan</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0" w:type="dxa"/>
            <w:vAlign w:val="bottom"/>
          </w:tcPr>
          <w:p>
            <w:pPr>
              <w:spacing w:after="0"/>
              <w:rPr>
                <w:sz w:val="1"/>
                <w:szCs w:val="1"/>
                <w:color w:val="auto"/>
              </w:rPr>
            </w:pPr>
          </w:p>
        </w:tc>
      </w:tr>
      <w:tr>
        <w:trPr>
          <w:trHeight w:val="216"/>
        </w:trPr>
        <w:tc>
          <w:tcPr>
            <w:tcW w:w="20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securitizations</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Non-capitalized transaction</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costs and other expense</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Litigation settlement income</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(Earnings) losses from</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investments in</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unconsolidated entities</w:t>
            </w: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Adjusted distributable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earnings from investments</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10,655</w:t>
            </w:r>
          </w:p>
        </w:tc>
        <w:tc>
          <w:tcPr>
            <w:tcW w:w="0" w:type="dxa"/>
            <w:vAlign w:val="bottom"/>
          </w:tcPr>
          <w:p>
            <w:pPr>
              <w:spacing w:after="0"/>
              <w:rPr>
                <w:sz w:val="1"/>
                <w:szCs w:val="1"/>
                <w:color w:val="auto"/>
              </w:rPr>
            </w:pPr>
          </w:p>
        </w:tc>
      </w:tr>
      <w:tr>
        <w:trPr>
          <w:trHeight w:val="216"/>
        </w:trPr>
        <w:tc>
          <w:tcPr>
            <w:tcW w:w="2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in unconsolidated entities</w:t>
            </w:r>
            <w:r>
              <w:rPr>
                <w:rFonts w:ascii="Times New Roman" w:cs="Times New Roman" w:eastAsia="Times New Roman" w:hAnsi="Times New Roman"/>
                <w:sz w:val="21"/>
                <w:szCs w:val="21"/>
                <w:color w:val="auto"/>
                <w:vertAlign w:val="superscript"/>
              </w:rPr>
              <w:t>(6)</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Adjusted Distributable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25,432</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67,267</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14,624</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59,717</w:t>
            </w:r>
          </w:p>
        </w:tc>
        <w:tc>
          <w:tcPr>
            <w:tcW w:w="0" w:type="dxa"/>
            <w:vAlign w:val="bottom"/>
          </w:tcPr>
          <w:p>
            <w:pPr>
              <w:spacing w:after="0"/>
              <w:rPr>
                <w:sz w:val="1"/>
                <w:szCs w:val="1"/>
                <w:color w:val="auto"/>
              </w:rPr>
            </w:pPr>
          </w:p>
        </w:tc>
      </w:tr>
      <w:tr>
        <w:trPr>
          <w:trHeight w:val="221"/>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Adjusted Distributable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attributable to non-</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Distributable</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Earnings Attributable to</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70,829</w:t>
            </w:r>
          </w:p>
        </w:tc>
        <w:tc>
          <w:tcPr>
            <w:tcW w:w="2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25,432</w:t>
            </w:r>
          </w:p>
        </w:tc>
        <w:tc>
          <w:tcPr>
            <w:tcW w:w="220" w:type="dxa"/>
            <w:vAlign w:val="bottom"/>
          </w:tcPr>
          <w:p>
            <w:pPr>
              <w:spacing w:after="0"/>
              <w:rPr>
                <w:sz w:val="14"/>
                <w:szCs w:val="14"/>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(29,765)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66,496</w:t>
            </w:r>
          </w:p>
        </w:tc>
        <w:tc>
          <w:tcPr>
            <w:tcW w:w="10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66,443</w:t>
            </w:r>
          </w:p>
        </w:tc>
        <w:tc>
          <w:tcPr>
            <w:tcW w:w="2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14,624</w:t>
            </w:r>
          </w:p>
        </w:tc>
        <w:tc>
          <w:tcPr>
            <w:tcW w:w="220" w:type="dxa"/>
            <w:vAlign w:val="bottom"/>
          </w:tcPr>
          <w:p>
            <w:pPr>
              <w:spacing w:after="0"/>
              <w:rPr>
                <w:sz w:val="14"/>
                <w:szCs w:val="14"/>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(29,705)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0" w:type="dxa"/>
            <w:vAlign w:val="bottom"/>
          </w:tcPr>
          <w:p>
            <w:pPr>
              <w:spacing w:after="0"/>
              <w:rPr>
                <w:sz w:val="1"/>
                <w:szCs w:val="1"/>
                <w:color w:val="auto"/>
              </w:rPr>
            </w:pPr>
          </w:p>
        </w:tc>
      </w:tr>
      <w:tr>
        <w:trPr>
          <w:trHeight w:val="194"/>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Adjusted Distributable</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Earnings Attributable to</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Common Stockholders, per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2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40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realized (gains) losses on securities and loans, REO, financial derivatives (excluding periodic settlements on interest rate swaps), and foreign currency transactions which are components of Other Income (Loss) on the Condensed Consolidated Statement of Operations.</w:t>
      </w:r>
    </w:p>
    <w:p>
      <w:pPr>
        <w:ind w:left="340" w:right="14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unrealized (gains) losses on securities and loans, REO, financial derivatives (excluding periodic settlements on interest rate swaps), borrowings carried at fair value, MSR-related investments, and foreign currency translations which are components of Other Income (Loss) on the Condensed Consolidated Statement of Operations.</w:t>
      </w:r>
    </w:p>
    <w:p>
      <w:pPr>
        <w:ind w:left="340" w:right="220" w:hanging="332"/>
        <w:spacing w:after="0" w:line="264"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change in fair value of the HMBS MSR and Reverse MSRs attributable to changes in market conditions and model assumptions. This adjustment also includes net (gains) losses on certain hedging instruments (including interest rate swaps, futures, and short U.S. Treasury securities), which are components of realized and/or unrealized gains (losses) on financial derivatives, net, realized and/or unrealized gains (losses) on securities and loans, net, interest income, and interest expense on the Condensed Consolidated Statement of Operations.</w:t>
      </w:r>
    </w:p>
    <w:p>
      <w:pPr>
        <w:spacing w:after="0" w:line="15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 of replacing mortgage loan interest income (net of securitization debt expense) with interest income of the retained tranches.</w:t>
      </w:r>
    </w:p>
    <w:p>
      <w:pPr>
        <w:spacing w:after="0" w:line="14" w:lineRule="exact"/>
        <w:rPr>
          <w:rFonts w:ascii="Times New Roman" w:cs="Times New Roman" w:eastAsia="Times New Roman" w:hAnsi="Times New Roman"/>
          <w:sz w:val="14"/>
          <w:szCs w:val="14"/>
          <w:color w:val="auto"/>
        </w:rPr>
      </w:pPr>
    </w:p>
    <w:p>
      <w:pPr>
        <w:ind w:left="340" w:right="80" w:hanging="332"/>
        <w:spacing w:after="0" w:line="256"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three-month period ended March 31, 2026, includes $1.3 million of other non-capitalized transaction costs, $1.2 million of non-cash equity compensation and depreciation expense, and $0.5 million of various other expenses. For the three-month period ended December 31, 2025, includes $6.0 million of debt issuances costs related to unsecured borrowings, at fair value, $1.9 million of debt issuance costs related to Other secured borrowings, at fair value, $2.1 million of other non-capitalized transaction costs, $1.2 million of non-cash equity compensation and depreciation expense, and $0.3 million of various other expenses.</w:t>
      </w:r>
    </w:p>
    <w:p>
      <w:pPr>
        <w:spacing w:after="0" w:line="1" w:lineRule="exact"/>
        <w:rPr>
          <w:rFonts w:ascii="Times New Roman" w:cs="Times New Roman" w:eastAsia="Times New Roman" w:hAnsi="Times New Roman"/>
          <w:sz w:val="14"/>
          <w:szCs w:val="14"/>
          <w:color w:val="auto"/>
        </w:rPr>
      </w:pPr>
    </w:p>
    <w:p>
      <w:pPr>
        <w:ind w:left="340" w:right="520" w:hanging="332"/>
        <w:spacing w:after="0" w:line="28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Company's proportionate share of net interest income, net loan origination income (expense), and operating expenses for certain investments in unconsolidated entities, including certain of its non-consolidated equity investments in loan originators that have been making (or are expected to make) distributions to the Company.</w:t>
      </w:r>
    </w:p>
    <w:p>
      <w:pPr>
        <w:sectPr>
          <w:pgSz w:w="11900" w:h="16838" w:orient="portrait"/>
          <w:cols w:equalWidth="0" w:num="1">
            <w:col w:w="11220"/>
          </w:cols>
          <w:pgMar w:left="320" w:top="1012" w:right="35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20"/>
      </w:cols>
      <w:pgMar w:left="320" w:top="10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4"/>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5"/>
      <w:numFmt w:val="bullet"/>
      <w:start w:val="1"/>
    </w:lvl>
  </w:abstractNum>
  <w:abstractNum w:abstractNumId="11">
    <w:nsid w:val="3F2DBA31"/>
    <w:multiLevelType w:val="hybridMultilevel"/>
    <w:lvl w:ilvl="0">
      <w:lvlJc w:val="left"/>
      <w:lvlText w:val="6"/>
      <w:numFmt w:val="bullet"/>
      <w:start w:val="1"/>
    </w:lvl>
  </w:abstractNum>
  <w:abstractNum w:abstractNumId="12">
    <w:nsid w:val="7C83E458"/>
    <w:multiLevelType w:val="hybridMultilevel"/>
    <w:lvl w:ilvl="0">
      <w:lvlJc w:val="left"/>
      <w:lvlText w:val="7"/>
      <w:numFmt w:val="bullet"/>
      <w:start w:val="1"/>
    </w:lvl>
  </w:abstractNum>
  <w:abstractNum w:abstractNumId="13">
    <w:nsid w:val="257130A3"/>
    <w:multiLevelType w:val="hybridMultilevel"/>
    <w:lvl w:ilvl="0">
      <w:lvlJc w:val="left"/>
      <w:lvlText w:val="8"/>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2026-05-05T15:46:32Z</dcterms:created>
  <dcterms:modified xsi:type="dcterms:W3CDTF">2026-05-05T15:46:32Z</dcterms:modified>
</cp:coreProperties>
</file>