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67229.xml.htm"/>
      <w:bookmarkStart w:id="1" w:name="kswkform4_17860672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Vranos Michael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Ellington Financial Inc.</w:t>
              </w:r>
            </w:hyperlink>
            <w:r>
              <w:rPr/>
              <w:t xml:space="preserve"> [ </w:t>
            </w:r>
            <w:r>
              <w:rPr>
                <w:rFonts w:ascii="Times;serif" w:hAnsi="Times;serif"/>
                <w:color w:val="0000FF"/>
                <w:sz w:val="24"/>
                <w:shd w:fill="FFFFFF" w:val="clear"/>
              </w:rPr>
              <w:t>EFC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Investment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613"/>
        <w:gridCol w:w="1274"/>
        <w:gridCol w:w="993"/>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1,129,746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1,889,689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38,759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 Trust</w:t>
            </w:r>
            <w:r>
              <w:rPr>
                <w:rFonts w:ascii="Times;serif" w:hAnsi="Times;serif"/>
                <w:color w:val="008000"/>
                <w:position w:val="7"/>
                <w:sz w:val="16"/>
                <w:sz w:val="20"/>
                <w:shd w:fill="FFFFFF" w:val="clear"/>
              </w:rPr>
              <w:t>(4)</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153,998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 Trusts</w:t>
            </w:r>
            <w:r>
              <w:rPr>
                <w:rFonts w:ascii="Times;serif" w:hAnsi="Times;serif"/>
                <w:color w:val="008000"/>
                <w:position w:val="7"/>
                <w:sz w:val="16"/>
                <w:sz w:val="20"/>
                <w:shd w:fill="FFFFFF" w:val="clear"/>
              </w:rPr>
              <w:t>(5)</w:t>
            </w:r>
          </w:p>
        </w:tc>
      </w:tr>
    </w:tbl>
    <w:tbl>
      <w:tblPr>
        <w:tblW w:w="12113"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921"/>
        <w:gridCol w:w="801"/>
        <w:gridCol w:w="936"/>
        <w:gridCol w:w="831"/>
        <w:gridCol w:w="906"/>
      </w:tblGrid>
      <w:tr>
        <w:trPr>
          <w:tblHeader w:val="true"/>
        </w:trPr>
        <w:tc>
          <w:tcPr>
            <w:tcW w:w="121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319,241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319,241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("Common Stock") of Ellington Financial Inc. (the "Issuer") were issued in connection with the incentive fee earned by Ellington Financial Management LLC ("EFM"), the Issuer's external manager, in the second quarter of 2026. The Common Stock was issued pursuant to a management agreement, by and among the Issuer, EFM, and Ellington Financial Operating Partnership LLP ("EFCOP").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these 1,129,746 shares of Common Stock, 842,221 shares are owned directly by EMG Holdings, L.P. ("EMGH") and 287,525 shares are directly owned by EFM. VC Investments LLC ("VC") is the general partner of EMGH and the managing member of EFM. Michael W. Vranos is the managing member of, and holds a controlling interest in, VC. Michael W. Vranos and VC together share the power to direct the voting and disposition of common shares held by EMGH and EFM, and may be regarded as the beneficial owners of the common shares. Each of Michael W. Vranos and VC disclaims beneficial ownership of any common shares owned beneficially or of record by each other except to the extent of its or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Mr. Vranos is the managing member of an entity that holds these shares for estate planning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of Common Stock are held by an entity owned by a family trust of which Laurence Penn is a settlor and for which Mr. Vranos serves as a trustee (the "Penn Family Trust"). Mr. Vranos has certain consent rights with respect to transfers of shares of Common Stock held by the Penn Family Trust. Mr. Vranos disclaims any pecuniary interest in the shares of Common Stock held by the Penn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are held in family trusts established by EMGH partners (other than Mr. Vranos) for which Mr. Vranos acts as trustee. One of the trusts, in which Mr. Vranos has sole voting power, owns a portion of the shares and the other trusts, which Mr. Vranos has shared voting power, hold the remaining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separate non-voting class of limited liability company interests ("OP LTIP Units") of EFCOP. Each OP LTIP Unit is convertible into a Common Unit on a one-for-one basis. Subject to certain conditions, the Common Units are redeemable by the holder for an equivalent number of shares of Common Stock or for the cash value of such shares of Common Stock, at the Company's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units are held by EMGH. Mr. Vranos and VC together share the power to direct the voting and disposition of these units held by EMGH, and may be regarded as the beneficial owners of these units. Each of Mr. Vranos and VC disclaims beneficial ownership of any of these units owned beneficially or of record by each other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Common Units of EFCOP. Subject to certain conditions, the Common Units are redeemable by the holder for an equivalent number of shares of Common Stock or for the cash value of such shares of Common Stock, at the Company's election.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Alaael-Deen H. Shilleh, attorney-in-fact for Michael W. Vranos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4808" TargetMode="External"/><Relationship Id="rId5" Type="http://schemas.openxmlformats.org/officeDocument/2006/relationships/hyperlink" Target="http://www.sec.gov/cgi-bin/browse-edgar?action=getcompany&amp;CIK=00014113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1134</Words>
  <Characters>5838</Characters>
  <CharactersWithSpaces>6866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