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21"/>
          <w:szCs w:val="21"/>
          <w:b w:val="1"/>
          <w:bCs w:val="1"/>
          <w:color w:val="auto"/>
        </w:rPr>
        <w:t>May 28, 2026</w:t>
      </w:r>
    </w:p>
    <w:p>
      <w:pPr>
        <w:spacing w:after="0" w:line="23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ELLINGTON FINANCIAL INC.</w:t>
      </w:r>
    </w:p>
    <w:p>
      <w:pPr>
        <w:spacing w:after="0" w:line="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6" w:lineRule="exact"/>
        <w:rPr>
          <w:sz w:val="24"/>
          <w:szCs w:val="24"/>
          <w:color w:val="auto"/>
        </w:rPr>
      </w:pPr>
    </w:p>
    <w:p>
      <w:pPr>
        <w:ind w:left="1480"/>
        <w:spacing w:after="0"/>
        <w:tabs>
          <w:tab w:leader="none" w:pos="5200" w:val="left"/>
          <w:tab w:leader="none" w:pos="89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001-34569</w:t>
      </w:r>
      <w:r>
        <w:rPr>
          <w:sz w:val="20"/>
          <w:szCs w:val="20"/>
          <w:color w:val="auto"/>
        </w:rPr>
        <w:tab/>
      </w:r>
      <w:r>
        <w:rPr>
          <w:rFonts w:ascii="Times New Roman" w:cs="Times New Roman" w:eastAsia="Times New Roman" w:hAnsi="Times New Roman"/>
          <w:sz w:val="18"/>
          <w:szCs w:val="18"/>
          <w:b w:val="1"/>
          <w:bCs w:val="1"/>
          <w:color w:val="auto"/>
        </w:rPr>
        <w:t>26-0489289</w:t>
      </w:r>
    </w:p>
    <w:p>
      <w:pPr>
        <w:spacing w:after="0" w:line="15"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color w:val="auto"/>
        </w:rPr>
        <w:t>(State or other jurisdiction</w:t>
      </w:r>
    </w:p>
    <w:p>
      <w:pPr>
        <w:jc w:val="right"/>
        <w:ind w:right="580"/>
        <w:spacing w:after="0"/>
        <w:tabs>
          <w:tab w:leader="none" w:pos="5980" w:val="left"/>
          <w:tab w:leader="none" w:pos="2460" w:val="left"/>
        </w:tabs>
        <w:rPr>
          <w:sz w:val="20"/>
          <w:szCs w:val="20"/>
          <w:color w:val="auto"/>
        </w:rPr>
      </w:pPr>
      <w:r>
        <w:rPr>
          <w:rFonts w:ascii="Times New Roman" w:cs="Times New Roman" w:eastAsia="Times New Roman" w:hAnsi="Times New Roman"/>
          <w:sz w:val="18"/>
          <w:szCs w:val="18"/>
          <w:color w:val="auto"/>
        </w:rPr>
        <w:t>of incorporation)</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 No.)</w:t>
      </w:r>
    </w:p>
    <w:p>
      <w:pPr>
        <w:spacing w:after="0" w:line="2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53 Forest Avenue</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Old Greenwich, CT 06870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(Address and zip code of principal executive offices)</w:t>
      </w:r>
    </w:p>
    <w:p>
      <w:pPr>
        <w:spacing w:after="0" w:line="149"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698-1200</w:t>
      </w:r>
    </w:p>
    <w:p>
      <w:pPr>
        <w:spacing w:after="0" w:line="171"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Address, if Changed Since Last Report)</w:t>
      </w:r>
    </w:p>
    <w:p>
      <w:pPr>
        <w:spacing w:after="0" w:line="153" w:lineRule="exact"/>
        <w:rPr>
          <w:sz w:val="24"/>
          <w:szCs w:val="24"/>
          <w:color w:val="auto"/>
        </w:rPr>
      </w:pPr>
    </w:p>
    <w:p>
      <w:pPr>
        <w:ind w:right="64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00"/>
          </w:cols>
          <w:pgMar w:left="320" w:top="999" w:right="379" w:bottom="1440" w:gutter="0" w:footer="0" w:header="0"/>
        </w:sectPr>
      </w:pPr>
    </w:p>
    <w:p>
      <w:pPr>
        <w:spacing w:after="0" w:line="46"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460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Stock, $0.001 par value per share</w:t>
      </w:r>
    </w:p>
    <w:p>
      <w:pPr>
        <w:spacing w:after="0" w:line="27" w:lineRule="exact"/>
        <w:rPr>
          <w:sz w:val="24"/>
          <w:szCs w:val="24"/>
          <w:color w:val="auto"/>
        </w:rPr>
      </w:pPr>
    </w:p>
    <w:p>
      <w:pPr>
        <w:ind w:left="180" w:right="1260" w:hanging="161"/>
        <w:spacing w:after="0" w:line="234" w:lineRule="auto"/>
        <w:rPr>
          <w:sz w:val="20"/>
          <w:szCs w:val="20"/>
          <w:color w:val="auto"/>
        </w:rPr>
      </w:pPr>
      <w:r>
        <w:rPr>
          <w:rFonts w:ascii="Times New Roman" w:cs="Times New Roman" w:eastAsia="Times New Roman" w:hAnsi="Times New Roman"/>
          <w:sz w:val="18"/>
          <w:szCs w:val="18"/>
          <w:color w:val="auto"/>
        </w:rPr>
        <w:t>6.250% Series B Fixed-Rate Reset Cumulative Redeemable Preferred Stock</w:t>
      </w:r>
    </w:p>
    <w:p>
      <w:pPr>
        <w:spacing w:after="0" w:line="10" w:lineRule="exact"/>
        <w:rPr>
          <w:sz w:val="24"/>
          <w:szCs w:val="24"/>
          <w:color w:val="auto"/>
        </w:rPr>
      </w:pPr>
    </w:p>
    <w:p>
      <w:pPr>
        <w:ind w:left="180" w:right="1260" w:hanging="161"/>
        <w:spacing w:after="0" w:line="237" w:lineRule="auto"/>
        <w:rPr>
          <w:sz w:val="20"/>
          <w:szCs w:val="20"/>
          <w:color w:val="auto"/>
        </w:rPr>
      </w:pPr>
      <w:r>
        <w:rPr>
          <w:rFonts w:ascii="Times New Roman" w:cs="Times New Roman" w:eastAsia="Times New Roman" w:hAnsi="Times New Roman"/>
          <w:sz w:val="18"/>
          <w:szCs w:val="18"/>
          <w:color w:val="auto"/>
        </w:rPr>
        <w:t>8.625% Series C Fixed-Rate Reset Cumulative Redeemable Preferred Stock</w:t>
      </w:r>
    </w:p>
    <w:p>
      <w:pPr>
        <w:spacing w:after="0" w:line="10" w:lineRule="exact"/>
        <w:rPr>
          <w:sz w:val="24"/>
          <w:szCs w:val="24"/>
          <w:color w:val="auto"/>
        </w:rPr>
      </w:pPr>
    </w:p>
    <w:p>
      <w:pPr>
        <w:ind w:left="180" w:hanging="161"/>
        <w:spacing w:after="0" w:line="237" w:lineRule="auto"/>
        <w:rPr>
          <w:sz w:val="20"/>
          <w:szCs w:val="20"/>
          <w:color w:val="auto"/>
        </w:rPr>
      </w:pPr>
      <w:r>
        <w:rPr>
          <w:rFonts w:ascii="Times New Roman" w:cs="Times New Roman" w:eastAsia="Times New Roman" w:hAnsi="Times New Roman"/>
          <w:sz w:val="18"/>
          <w:szCs w:val="18"/>
          <w:color w:val="auto"/>
        </w:rPr>
        <w:t>7.00% Series D Cumulative Perpetual Redeemable Preferred Stock</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EFC</w:t>
            </w:r>
          </w:p>
        </w:tc>
        <w:tc>
          <w:tcPr>
            <w:tcW w:w="120" w:type="dxa"/>
            <w:vAlign w:val="bottom"/>
          </w:tcPr>
          <w:p>
            <w:pPr>
              <w:spacing w:after="0"/>
              <w:rPr>
                <w:sz w:val="19"/>
                <w:szCs w:val="19"/>
                <w:color w:val="auto"/>
              </w:rPr>
            </w:pPr>
          </w:p>
        </w:tc>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414"/>
        </w:trPr>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EFC PR B</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418"/>
        </w:trPr>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EFC PR C</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418"/>
        </w:trPr>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EFC PRD</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200" w:lineRule="exact"/>
        <w:rPr>
          <w:sz w:val="24"/>
          <w:szCs w:val="24"/>
          <w:color w:val="auto"/>
        </w:rPr>
      </w:pPr>
    </w:p>
    <w:p>
      <w:pPr>
        <w:sectPr>
          <w:pgSz w:w="11900" w:h="16838" w:orient="portrait"/>
          <w:cols w:equalWidth="0" w:num="2">
            <w:col w:w="4400" w:space="200"/>
            <w:col w:w="6600"/>
          </w:cols>
          <w:pgMar w:left="320" w:top="999" w:right="379" w:bottom="1440" w:gutter="0" w:footer="0" w:header="0"/>
          <w:type w:val="continuous"/>
        </w:sectPr>
      </w:pPr>
    </w:p>
    <w:p>
      <w:pPr>
        <w:spacing w:after="0" w:line="38" w:lineRule="exact"/>
        <w:rPr>
          <w:sz w:val="24"/>
          <w:szCs w:val="24"/>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20"/>
        <w:spacing w:after="0" w:line="207" w:lineRule="exact"/>
        <w:tabs>
          <w:tab w:leader="none" w:pos="25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ind w:right="60"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00"/>
          </w:cols>
          <w:pgMar w:left="320" w:top="999" w:right="379" w:bottom="1440" w:gutter="0" w:footer="0" w:header="0"/>
          <w:type w:val="continuous"/>
        </w:sectPr>
      </w:pPr>
    </w:p>
    <w:p>
      <w:pPr>
        <w:spacing w:after="0" w:line="200" w:lineRule="exact"/>
        <w:rPr>
          <w:sz w:val="24"/>
          <w:szCs w:val="24"/>
          <w:color w:val="auto"/>
        </w:rPr>
      </w:pPr>
    </w:p>
    <w:p>
      <w:pPr>
        <w:spacing w:after="0" w:line="30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type w:val="continuous"/>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24"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As indicated below, on May 28, 2026, at the 2026 Annual Meeting of Stockholders (the “2026 Annual Meeting”) of Ellington Financial Inc. (the “Company”), the Company’s stockholders approved the Ellington Financial Inc. 2026 Equity Incentive Plan (the “Equity Incentive Plan”).</w:t>
      </w:r>
    </w:p>
    <w:p>
      <w:pPr>
        <w:spacing w:after="0" w:line="108" w:lineRule="exact"/>
        <w:rPr>
          <w:sz w:val="20"/>
          <w:szCs w:val="20"/>
          <w:color w:val="auto"/>
        </w:rPr>
      </w:pPr>
    </w:p>
    <w:p>
      <w:pPr>
        <w:ind w:right="160" w:firstLine="405"/>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features of the Equity Incentive Plan are described in </w:t>
      </w:r>
      <w:hyperlink r:id="rId10">
        <w:r>
          <w:rPr>
            <w:rFonts w:ascii="Times New Roman" w:cs="Times New Roman" w:eastAsia="Times New Roman" w:hAnsi="Times New Roman"/>
            <w:sz w:val="18"/>
            <w:szCs w:val="18"/>
            <w:u w:val="single" w:color="auto"/>
            <w:color w:val="0000FF"/>
          </w:rPr>
          <w:t>Proposal 4 of the Company's Definitive Proxy Statement on Schedule 14A</w:t>
        </w:r>
      </w:hyperlink>
      <w:r>
        <w:rPr>
          <w:rFonts w:ascii="Times New Roman" w:cs="Times New Roman" w:eastAsia="Times New Roman" w:hAnsi="Times New Roman"/>
          <w:sz w:val="18"/>
          <w:szCs w:val="18"/>
          <w:color w:val="auto"/>
        </w:rPr>
        <w:t>, dated April 8, 2026, which description is incorporated herein by reference. The description of the Equity Incentive Plan incorporated herein by reference is qualified in its entirety by the text of the Equity Incentive Plan, a copy of which was filed as Exhibit 10.1 to this Current Report on Form 8-K, and incorporated into this Item 5.02 by reference.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94"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At the 2026 Annual Meeting, the Company’s stockholders: (i) elected the six persons listed below as directors of the Company, each to hold office until the Company’s annual meeting of stockholders in 2027 and until his or her successor is duly elected and qualifies; (ii) approved, on a non-binding, advisory basis, the compensation of the Company’s named executive officers; (iii) ratified the appointment of PricewaterhouseCoopers LLP as the Company’s independent registered public accounting firm for the fiscal year ending December 31, 2026; (iv) approved the adoption of the Equity Incentive Plan. Set forth below are the voting results for each of the proposals voted upon by the Company’s stockholders at the 2026 Annual Meeting: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94" w:lineRule="exact"/>
        <w:rPr>
          <w:sz w:val="20"/>
          <w:szCs w:val="20"/>
          <w:color w:val="auto"/>
        </w:rPr>
      </w:pPr>
    </w:p>
    <w:p>
      <w:pPr>
        <w:ind w:right="20" w:firstLine="405"/>
        <w:spacing w:after="0" w:line="273" w:lineRule="auto"/>
        <w:rPr>
          <w:sz w:val="20"/>
          <w:szCs w:val="20"/>
          <w:color w:val="auto"/>
        </w:rPr>
      </w:pPr>
      <w:r>
        <w:rPr>
          <w:rFonts w:ascii="Times New Roman" w:cs="Times New Roman" w:eastAsia="Times New Roman" w:hAnsi="Times New Roman"/>
          <w:sz w:val="18"/>
          <w:szCs w:val="18"/>
          <w:color w:val="auto"/>
        </w:rPr>
        <w:t>Votes regarding the election of five directors, each of whom was elected for a term expiring at the 2027 annual meeting or until such time as his or her successor is elected and qualified,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For</w:t>
            </w:r>
          </w:p>
        </w:tc>
        <w:tc>
          <w:tcPr>
            <w:tcW w:w="1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Withheld</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23"/>
        </w:trPr>
        <w:tc>
          <w:tcPr>
            <w:tcW w:w="6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Stephen J. Dannhauser</w:t>
            </w: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48,401,715</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10,328,342</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33,067,881</w:t>
            </w:r>
          </w:p>
        </w:tc>
      </w:tr>
      <w:tr>
        <w:trPr>
          <w:trHeight w:val="230"/>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Mumford</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56,886,550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1,843,507</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33,067,881</w:t>
            </w:r>
          </w:p>
        </w:tc>
      </w:tr>
      <w:tr>
        <w:trPr>
          <w:trHeight w:val="22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Laurence E. Penn</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56,661,780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2,068,277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33,067,881</w:t>
            </w:r>
          </w:p>
        </w:tc>
      </w:tr>
      <w:tr>
        <w:trPr>
          <w:trHeight w:val="230"/>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Edward Resendez</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55,950,937</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2,779,120</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33,067,881</w:t>
            </w:r>
          </w:p>
        </w:tc>
      </w:tr>
      <w:tr>
        <w:trPr>
          <w:trHeight w:val="23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Ronald I. Simon, Ph.D.</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55,333,825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3,396,232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33,067,881</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Advisory (Non-Binding) “Say on Pay” Vote to Approve Executive Compensation</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Votes on a proposal to approve, on an advisory basis, the compensation of the Company's named executive officers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For</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Against</w:t>
            </w:r>
          </w:p>
        </w:tc>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Abstentions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23"/>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54,695,130</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3,273,132</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761,795</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33,067,881</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Ratification of the Appointment of the Company's Independent Registered Public Accountants</w:t>
      </w:r>
    </w:p>
    <w:p>
      <w:pPr>
        <w:spacing w:after="0" w:line="94" w:lineRule="exact"/>
        <w:rPr>
          <w:sz w:val="20"/>
          <w:szCs w:val="20"/>
          <w:color w:val="auto"/>
        </w:rPr>
      </w:pPr>
    </w:p>
    <w:p>
      <w:pPr>
        <w:ind w:right="220" w:firstLine="405"/>
        <w:spacing w:after="0" w:line="273" w:lineRule="auto"/>
        <w:rPr>
          <w:sz w:val="20"/>
          <w:szCs w:val="20"/>
          <w:color w:val="auto"/>
        </w:rPr>
      </w:pPr>
      <w:r>
        <w:rPr>
          <w:rFonts w:ascii="Times New Roman" w:cs="Times New Roman" w:eastAsia="Times New Roman" w:hAnsi="Times New Roman"/>
          <w:sz w:val="18"/>
          <w:szCs w:val="18"/>
          <w:color w:val="auto"/>
        </w:rPr>
        <w:t>Votes regarding the proposal to ratify the appointment of PricewaterhouseCoopers LLP as the Company's independent registered public accounting firm for the year ending December 31, 2026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For</w:t>
            </w:r>
          </w:p>
        </w:tc>
        <w:tc>
          <w:tcPr>
            <w:tcW w:w="28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Against</w:t>
            </w:r>
          </w:p>
        </w:tc>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Abstentions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23"/>
        </w:trPr>
        <w:tc>
          <w:tcPr>
            <w:tcW w:w="272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90,170,282</w:t>
            </w:r>
          </w:p>
        </w:tc>
        <w:tc>
          <w:tcPr>
            <w:tcW w:w="10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880,741</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746,915</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r>
    </w:tbl>
    <w:p>
      <w:pPr>
        <w:spacing w:after="0" w:line="76" w:lineRule="exact"/>
        <w:rPr>
          <w:sz w:val="20"/>
          <w:szCs w:val="20"/>
          <w:color w:val="auto"/>
        </w:rPr>
      </w:pPr>
    </w:p>
    <w:p>
      <w:pPr>
        <w:ind w:left="180" w:right="200" w:hanging="172"/>
        <w:spacing w:after="0" w:line="282" w:lineRule="auto"/>
        <w:tabs>
          <w:tab w:leader="none" w:pos="15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broker non-votes arose in connection with this proposal due to the fact that the proposal was considered “routine” under New York Stock Exchange Rules.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4: Approval of the Equity Incentive Plan</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color w:val="auto"/>
              </w:rPr>
              <w:t>Votes on a proposal to approve the Equity Incentive Plan were as follows:</w:t>
            </w:r>
          </w:p>
        </w:tc>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For</w:t>
            </w:r>
          </w:p>
        </w:tc>
        <w:tc>
          <w:tcPr>
            <w:tcW w:w="3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Against</w:t>
            </w:r>
          </w:p>
        </w:tc>
        <w:tc>
          <w:tcPr>
            <w:tcW w:w="232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w w:val="99"/>
              </w:rPr>
              <w:t>Abstentions</w:t>
            </w:r>
          </w:p>
        </w:tc>
        <w:tc>
          <w:tcPr>
            <w:tcW w:w="27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23"/>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55,004,182</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2,837,889</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887,986</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33,067,881</w:t>
            </w:r>
          </w:p>
        </w:tc>
        <w:tc>
          <w:tcPr>
            <w:tcW w:w="20" w:type="dxa"/>
            <w:vAlign w:val="bottom"/>
          </w:tcPr>
          <w:p>
            <w:pPr>
              <w:spacing w:after="0"/>
              <w:rPr>
                <w:sz w:val="19"/>
                <w:szCs w:val="19"/>
                <w:color w:val="auto"/>
              </w:rPr>
            </w:pPr>
          </w:p>
        </w:tc>
      </w:tr>
      <w:tr>
        <w:trPr>
          <w:trHeight w:val="864"/>
        </w:trPr>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 w:name="page3"/>
    <w:bookmarkEnd w:id="2"/>
    <w:p>
      <w:pPr>
        <w:spacing w:after="0" w:line="1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 Exhibits. The following exhibits are being filed with this Current Report on Form 8-K.</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13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99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94FF"/>
              </w:rPr>
              <w:t>Ellington Financial Inc. 2026 Equity Incentive Plan</w:t>
            </w:r>
          </w:p>
        </w:tc>
      </w:tr>
      <w:tr>
        <w:trPr>
          <w:trHeight w:val="20"/>
        </w:trPr>
        <w:tc>
          <w:tcPr>
            <w:tcW w:w="1340" w:type="dxa"/>
            <w:vAlign w:val="bottom"/>
          </w:tcPr>
          <w:p>
            <w:pPr>
              <w:spacing w:after="0" w:line="20" w:lineRule="exact"/>
              <w:rPr>
                <w:sz w:val="1"/>
                <w:szCs w:val="1"/>
                <w:color w:val="auto"/>
              </w:rPr>
            </w:pPr>
          </w:p>
        </w:tc>
        <w:tc>
          <w:tcPr>
            <w:tcW w:w="3720" w:type="dxa"/>
            <w:vAlign w:val="bottom"/>
            <w:shd w:val="clear" w:color="auto" w:fill="0094FF"/>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bl>
    <w:p>
      <w:pPr>
        <w:spacing w:after="0" w:line="22" w:lineRule="exact"/>
        <w:rPr>
          <w:sz w:val="20"/>
          <w:szCs w:val="20"/>
          <w:color w:val="auto"/>
        </w:rPr>
      </w:pPr>
    </w:p>
    <w:p>
      <w:pPr>
        <w:ind w:left="1340" w:hanging="1314"/>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3"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ELLINGTON FINANCIAL INC.</w:t>
            </w:r>
          </w:p>
        </w:tc>
      </w:tr>
      <w:tr>
        <w:trPr>
          <w:trHeight w:val="49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2026</w:t>
            </w:r>
          </w:p>
        </w:tc>
        <w:tc>
          <w:tcPr>
            <w:tcW w:w="31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JR Herlihy</w:t>
            </w:r>
          </w:p>
        </w:tc>
      </w:tr>
      <w:tr>
        <w:trPr>
          <w:trHeight w:val="218"/>
        </w:trPr>
        <w:tc>
          <w:tcPr>
            <w:tcW w:w="40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JR Herlihy</w:t>
            </w:r>
          </w:p>
        </w:tc>
      </w:tr>
      <w:tr>
        <w:trPr>
          <w:trHeight w:val="234"/>
        </w:trPr>
        <w:tc>
          <w:tcPr>
            <w:tcW w:w="40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130"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ELLINGTON FINANCIAL INC.</w:t>
      </w:r>
    </w:p>
    <w:p>
      <w:pPr>
        <w:spacing w:after="0" w:line="17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2026 EQUITY INCENTIVE PLAN</w:t>
      </w:r>
    </w:p>
    <w:p>
      <w:pPr>
        <w:spacing w:after="0" w:line="200" w:lineRule="exact"/>
        <w:rPr>
          <w:sz w:val="20"/>
          <w:szCs w:val="20"/>
          <w:color w:val="auto"/>
        </w:rPr>
      </w:pPr>
    </w:p>
    <w:p>
      <w:pPr>
        <w:spacing w:after="0" w:line="36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120"/>
          </w:cols>
          <w:pgMar w:left="1440" w:top="11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6160" w:type="dxa"/>
            <w:vAlign w:val="bottom"/>
            <w:gridSpan w:val="4"/>
          </w:tcPr>
          <w:p>
            <w:pPr>
              <w:jc w:val="right"/>
              <w:ind w:right="397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9"/>
        </w:trPr>
        <w:tc>
          <w:tcPr>
            <w:tcW w:w="12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8"/>
        </w:trPr>
        <w:tc>
          <w:tcPr>
            <w:tcW w:w="12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5"/>
              </w:rPr>
              <w:t>Article I</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DEFINITIONS</w:t>
            </w:r>
          </w:p>
        </w:tc>
        <w:tc>
          <w:tcPr>
            <w:tcW w:w="5000" w:type="dxa"/>
            <w:vAlign w:val="bottom"/>
            <w:gridSpan w:val="3"/>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1.01.</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Affiliate</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1.02.</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Agreement</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1.03.</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Award</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1.04.</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Board</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1.05.</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Bylaws</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1.06.</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Cause</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1.07.</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Certificate of Incorporation</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1.08.</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 in Control</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1.09.</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Code</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1.10.</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Committee</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1.11.</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Common Stock</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1.12.</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Common Unit</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1.13.</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Company</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1.14.</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Continuing Director</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1.15.</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Control Change Date</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1.16.</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Corresponding SAR</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1.17.</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Disability</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1.18.</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Dividend Equivalent Right</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1.19.</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Effective Date</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1.20.</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Exchange Act</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1.21.</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Fair Market Value</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1.22.</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Good Reason</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1.23.</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Incentive Award</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1.24.</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Initial Value</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1.25.</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LTIP Unit</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1.26.</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Management Agreement</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1.27.</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Manager</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1.28.</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Non-Employee Director</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1.29.</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Partnership</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1.30.</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Partnership Agreement</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1.31.</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Option</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1.32.</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Equity-Based Award</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1.33.</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Participant</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1.34.</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Performance Award</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1.35.</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Performance Goal</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1.36.</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Person</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1.37.</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Plan</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1.38.</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Qualifying Termination</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1.39.</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Restricted Stock</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1.40.</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Restricted Stock Unit</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1.41.</w:t>
            </w: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SAR</w:t>
            </w:r>
          </w:p>
        </w:tc>
        <w:tc>
          <w:tcPr>
            <w:tcW w:w="6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864"/>
        </w:trPr>
        <w:tc>
          <w:tcPr>
            <w:tcW w:w="12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10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2</w:t>
            </w:r>
          </w:p>
        </w:tc>
        <w:tc>
          <w:tcPr>
            <w:tcW w:w="29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360"/>
          </w:cols>
          <w:pgMar w:left="860" w:top="1040" w:right="67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8"/>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1.42.</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 Award</w:t>
            </w:r>
          </w:p>
        </w:tc>
        <w:tc>
          <w:tcPr>
            <w:tcW w:w="4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1.43.</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Substitute Award</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1.44.</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Ten Percent Stockholder</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Article II</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PURPOSES</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Article III</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ADMINISTRATION</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Article IV</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ELIGIBILITY</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Article V</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COMMON SHARES SUBJECT TO PLAN</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5.01.</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Common Stock Issued</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5.02.</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Aggregate Limit</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5.03.</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Reallocation of Shares</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5.04.</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Individual Limitations</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Article VI</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OPTIONS</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6.01.</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Award</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6.02.</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Option Price</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6.03.</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Maximum Option Period</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6.04.</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Transferability</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6.05.</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Employee Status</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6.06.</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Exercise</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6.07.</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Payment</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6.08.</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Stockholder Rights</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6.09.</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Disposition of Shares</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Article VII</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SARS</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7.01.</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Award</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7.02.</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Maximum SAR Period</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7.03.</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Transferability</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7.04.</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Exercise</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7.05.</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Employee Status</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7.06.</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Settlement</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7.07.</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Stockholder Rights</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Article VIII</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 AWARDS</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8.01.</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Award</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8.02.</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Vesting</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8.03.</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Employee Status</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8.04.</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Stockholder Rights</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8.05.</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Minimum Vesting Period</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Article IX</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RESTRICTED STOCK UNITS</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9.01.</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Award</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9.02.</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Terms and Conditions</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9.03.</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Payment or Settlement</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9.04.</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Employee Status</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9.05.</w:t>
            </w:r>
          </w:p>
        </w:tc>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Stockholder Rights</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864"/>
        </w:trPr>
        <w:tc>
          <w:tcPr>
            <w:tcW w:w="12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300" w:type="dxa"/>
            <w:vAlign w:val="bottom"/>
          </w:tcPr>
          <w:p>
            <w:pPr>
              <w:jc w:val="right"/>
              <w:ind w:right="3990"/>
              <w:spacing w:after="0"/>
              <w:rPr>
                <w:sz w:val="20"/>
                <w:szCs w:val="20"/>
                <w:color w:val="auto"/>
              </w:rPr>
            </w:pPr>
            <w:r>
              <w:rPr>
                <w:rFonts w:ascii="Times New Roman" w:cs="Times New Roman" w:eastAsia="Times New Roman" w:hAnsi="Times New Roman"/>
                <w:sz w:val="18"/>
                <w:szCs w:val="18"/>
                <w:color w:val="auto"/>
              </w:rPr>
              <w:t>3</w:t>
            </w:r>
          </w:p>
        </w:tc>
        <w:tc>
          <w:tcPr>
            <w:tcW w:w="1160" w:type="dxa"/>
            <w:vAlign w:val="bottom"/>
          </w:tcPr>
          <w:p>
            <w:pPr>
              <w:spacing w:after="0"/>
              <w:rPr>
                <w:sz w:val="24"/>
                <w:szCs w:val="24"/>
                <w:color w:val="auto"/>
              </w:rPr>
            </w:pPr>
          </w:p>
        </w:tc>
      </w:tr>
    </w:tbl>
    <w:p>
      <w:pPr>
        <w:sectPr>
          <w:pgSz w:w="11900" w:h="16838" w:orient="portrait"/>
          <w:cols w:equalWidth="0" w:num="1">
            <w:col w:w="10360"/>
          </w:cols>
          <w:pgMar w:left="860" w:top="1089" w:right="67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Article X</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PERFORMANCE AWARDS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10.01.</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Award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10.02.</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Earning the Award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10.03.</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10.04.</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Stockholder Rights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10.05.</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Transferability</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10.06.</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Employee Status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Article XI</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EQUITY–BASED AWARDS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11.01.</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Award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11.02.</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Terms and Conditions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11.03.</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 or Settlement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11.04.</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Employee Status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11.05.</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Stockholder Rights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Article XII</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INCENTIVE AWARDS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12.01.</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Award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12.02.</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Terms and Conditions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12.03.</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Nontransferability</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12.04.</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Employee Status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12.05.</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Settlement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12.06.</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Stockholder Rights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Article XIII</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SUBSTITUTE AWARDS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Article XIV</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ADJUSTMENT UPON CHANGE IN COMMON SHARES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Article XV</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COMPLIANCE WITH LAW AND APPROVAL OF REGULATORY BODIES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Article XVI</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GENERAL PROVISIONS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16.01.</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 on Employment and Service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16.02.</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Unfunded Plan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16.03.</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Rules of Construction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16.04.</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Withholding Taxes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16.05.</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Fractional Shares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16.06.</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Certificate of Incorporation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16.07.</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Governing Law</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16.08.</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Clawback</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16.09.</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Elections Under Section 83(b)</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16.10.</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Severability</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Article XVII</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CONTROL</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17.01.</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Impact of Change in Control.</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17.02.</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Assumption Upon Change in Control.</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17.03.</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Cash-Out Upon Change in Control.</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Article XVIII</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Article XIX</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DURATION OF PLAN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Article XX</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EFFECTIVENESS OF PLAN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864"/>
        </w:trPr>
        <w:tc>
          <w:tcPr>
            <w:tcW w:w="1300" w:type="dxa"/>
            <w:vAlign w:val="bottom"/>
          </w:tcPr>
          <w:p>
            <w:pPr>
              <w:spacing w:after="0"/>
              <w:rPr>
                <w:sz w:val="24"/>
                <w:szCs w:val="24"/>
                <w:color w:val="auto"/>
              </w:rPr>
            </w:pPr>
          </w:p>
        </w:tc>
        <w:tc>
          <w:tcPr>
            <w:tcW w:w="790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tcPr>
          <w:p>
            <w:pPr>
              <w:spacing w:after="0"/>
              <w:rPr>
                <w:sz w:val="24"/>
                <w:szCs w:val="24"/>
                <w:color w:val="auto"/>
              </w:rPr>
            </w:pPr>
          </w:p>
        </w:tc>
      </w:tr>
    </w:tbl>
    <w:p>
      <w:pPr>
        <w:sectPr>
          <w:pgSz w:w="11900" w:h="16838" w:orient="portrait"/>
          <w:cols w:equalWidth="0" w:num="1">
            <w:col w:w="10360"/>
          </w:cols>
          <w:pgMar w:left="860" w:top="1089" w:right="67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 the following terms shall have the meanings set forth below:</w:t>
      </w:r>
    </w:p>
    <w:p>
      <w:pPr>
        <w:spacing w:after="0" w:line="1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b w:val="1"/>
          <w:bCs w:val="1"/>
          <w:u w:val="single" w:color="auto"/>
          <w:color w:val="auto"/>
        </w:rPr>
        <w:t>Affiliate</w:t>
      </w:r>
    </w:p>
    <w:p>
      <w:pPr>
        <w:spacing w:after="0" w:line="175"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entity, any other entity, whether now or hereafter existing, which controls, is controlled by, or is under common control with, the first entity (including, but not limited to, joint ventures, limited liability companies and partnerships). For this purpose, the term “control” (including the correlative meanings of the terms “controlled by” and “under common control with”) shall mean ownership, directly or indirectly, of 50% or more of the total combined voting power of all classes of voting securities issued by such entity, or the possession, directly or indirectly, of the power to direct the management and policies of such entity, by contract or otherwise. Notwithstanding the foregoing, (i) the Manager shall be deemed an Affiliate of the Company for purposes of the Plan for so long as the Manager serves as the external manager of the Company, (ii) the Operating Partnership shall be deemed an Affiliate of the Company for purposes of the Plan for so long as the Company or a wholly-owned subsidiary of the Company serves as the sole general partner of the Operating Partnership and (iii) any other entity specifically designated by the Committee shall be deemed an Affiliate of the Company for purposes of the Plan for so long as the Committee desires.</w:t>
      </w:r>
    </w:p>
    <w:p>
      <w:pPr>
        <w:spacing w:after="0" w:line="13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b w:val="1"/>
          <w:bCs w:val="1"/>
          <w:u w:val="single" w:color="auto"/>
          <w:color w:val="auto"/>
        </w:rPr>
        <w:t>Agreement</w:t>
      </w:r>
    </w:p>
    <w:p>
      <w:pPr>
        <w:spacing w:after="0" w:line="175"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a written agreement (including any amendment or supplement thereto) between the Company and a Participant specifying the terms and conditions of an Award and, with respect to Awards granted to the Manager, includes the Management Agreement.</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b w:val="1"/>
          <w:bCs w:val="1"/>
          <w:u w:val="single" w:color="auto"/>
          <w:color w:val="auto"/>
        </w:rPr>
        <w:t>Award</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any Option, SAR, Stock Award, award of Restricted Stock Units, Performance Award, Other Equity-Based Award (including an LTIP Unit), Incentive Award, or Substitute Award, together with any other right or interest, granted to a Participant pursuant to the Plan.</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b w:val="1"/>
          <w:bCs w:val="1"/>
          <w:u w:val="single" w:color="auto"/>
          <w:color w:val="auto"/>
        </w:rPr>
        <w:t>Board</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1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b w:val="1"/>
          <w:bCs w:val="1"/>
          <w:u w:val="single" w:color="auto"/>
          <w:color w:val="auto"/>
        </w:rPr>
        <w:t>Bylaws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means the Amended and Restated Bylaws of the Company, effective January 5, 2023, as it may be amended, restated or otherwise modified from time to time in accordance with its terms.</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b w:val="1"/>
          <w:bCs w:val="1"/>
          <w:u w:val="single" w:color="auto"/>
          <w:color w:val="auto"/>
        </w:rPr>
        <w:t>Cause</w:t>
      </w:r>
    </w:p>
    <w:p>
      <w:pPr>
        <w:spacing w:after="0" w:line="175" w:lineRule="exact"/>
        <w:rPr>
          <w:sz w:val="20"/>
          <w:szCs w:val="20"/>
          <w:color w:val="auto"/>
        </w:rPr>
      </w:pPr>
    </w:p>
    <w:p>
      <w:pPr>
        <w:ind w:right="160" w:firstLine="405"/>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means, with respect to any Participant, except as may otherwise be provided in any Agreement, any of the following: (i) the Participant's material dishonesty, theft, or fraud connected with the Participant's services; (ii) the Participant's violence (or serious threat of violence) in the workplace;</w:t>
      </w:r>
    </w:p>
    <w:p>
      <w:pPr>
        <w:spacing w:after="0" w:line="1"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violation of any law, rule, or regulation applicable to the business of the Company, the Manager or any of their respective Affiliates;</w:t>
      </w:r>
    </w:p>
    <w:p>
      <w:pPr>
        <w:spacing w:after="0" w:line="9" w:lineRule="exact"/>
        <w:rPr>
          <w:rFonts w:ascii="Times New Roman" w:cs="Times New Roman" w:eastAsia="Times New Roman" w:hAnsi="Times New Roman"/>
          <w:sz w:val="18"/>
          <w:szCs w:val="18"/>
          <w:color w:val="auto"/>
        </w:rPr>
      </w:pPr>
    </w:p>
    <w:p>
      <w:pPr>
        <w:ind w:right="20" w:firstLine="8"/>
        <w:spacing w:after="0" w:line="252" w:lineRule="auto"/>
        <w:tabs>
          <w:tab w:leader="none" w:pos="3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conviction of, or plea of nolo contendere to, a felony of any kind or a misdemeanor involving dishonesty, fraud, or theft; (v) the Participant's violation of or deviation from any rules or policies of the Company, the Manager or any of their respective Affiliates that could potentially expose any such entity to substantial damages; (vi) the Participant's refusal to carry out any duties reasonably assigned to the Participant in connection with the Participant's services; (vii) the Participant's breach or failure to comply with any term, condition or provision of any Agreement, any employment, consulting or similar agreement between the Participant and the Company, the Manager or any of their respective Affiliates, or any agreement relating to trade secrets, proprietary information, confidentiality, non-competition, non-solicitation and/or similar restrictive covenants to which the Participant is a party; or (viii) the Participant's gross negligence, willful misconduct, gross misconduct, or gross malfeasance in the performance of the Participant's duties.</w:t>
      </w:r>
    </w:p>
    <w:p>
      <w:pPr>
        <w:spacing w:after="0" w:line="13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b w:val="1"/>
          <w:bCs w:val="1"/>
          <w:u w:val="single" w:color="auto"/>
          <w:color w:val="auto"/>
        </w:rPr>
        <w:t>Certificate of Incorporation</w:t>
      </w:r>
    </w:p>
    <w:p>
      <w:pPr>
        <w:spacing w:after="0" w:line="175"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means the Certificate of Incorporation of the Company filed with the Secretary of State of the State of Delaware on February 28, 2019, as it may be amended, restated or otherwise modified from time to time in accordance with its terms.</w:t>
      </w:r>
    </w:p>
    <w:p>
      <w:pPr>
        <w:sectPr>
          <w:pgSz w:w="11900" w:h="16838" w:orient="portrait"/>
          <w:cols w:equalWidth="0" w:num="1">
            <w:col w:w="11220"/>
          </w:cols>
          <w:pgMar w:left="320" w:top="1440" w:right="35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20"/>
          </w:cols>
          <w:pgMar w:left="320" w:top="1440" w:right="359" w:bottom="1440" w:gutter="0" w:footer="0" w:header="0"/>
          <w:type w:val="continuous"/>
        </w:sectPr>
      </w:pPr>
    </w:p>
    <w:bookmarkStart w:id="9" w:name="page10"/>
    <w:bookmarkEnd w:id="9"/>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b w:val="1"/>
          <w:bCs w:val="1"/>
          <w:u w:val="single" w:color="auto"/>
          <w:color w:val="auto"/>
        </w:rPr>
        <w:t>Change in Control</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and includes each of the following:</w:t>
      </w:r>
    </w:p>
    <w:p>
      <w:pPr>
        <w:spacing w:after="0" w:line="171" w:lineRule="exact"/>
        <w:rPr>
          <w:sz w:val="20"/>
          <w:szCs w:val="20"/>
          <w:color w:val="auto"/>
        </w:rPr>
      </w:pPr>
    </w:p>
    <w:p>
      <w:pPr>
        <w:ind w:firstLine="413"/>
        <w:spacing w:after="0" w:line="253" w:lineRule="auto"/>
        <w:tabs>
          <w:tab w:leader="none" w:pos="8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either directly or indirectly, by any individual, entity or group (within the meaning of Sections 13(d)(3) and 14(d)(2) of the Exchange Act) of beneficial ownership (within the meaning of Rule 13d-3 under the Exchange Act), of more than 50% of either (i) the then outstanding Common Stock of the Company, taking into account as outstanding for this purpose such Common Stock issuable upon the exercise of options or warrants, the conversion of convertible shares or debt, and the exercise of any similar right to acquire such Common Stock (the “Outstanding Company Common Stock”) or (ii) the combined voting power of the then outstanding voting securities of the Company entitled to vote generally in the election of directors (the “Outstanding Company Voting Securities”); provided, however, that the following acquisitions shall not constitute a Change in Control (A) any acquisition by the Company, the Manager or any of their respective Affiliates, (B) any acquisition by a trustee or other fiduciary holding the Company’s securities under an employee benefit plan sponsored or maintained by the Company or any of its Affiliates, (C) any acquisition by an underwriter, initial purchaser or placement agent temporarily holding the Company’s securities pursuant to an offering of such securities or (D) any acquisition by an entity owned, directly or indirectly, by the stockholders of the Company in substantially the same proportions as their ownership of the then Outstanding Company Common Stock.</w:t>
      </w:r>
    </w:p>
    <w:p>
      <w:pPr>
        <w:spacing w:after="0" w:line="137" w:lineRule="exact"/>
        <w:rPr>
          <w:rFonts w:ascii="Times New Roman" w:cs="Times New Roman" w:eastAsia="Times New Roman" w:hAnsi="Times New Roman"/>
          <w:sz w:val="18"/>
          <w:szCs w:val="18"/>
          <w:color w:val="auto"/>
        </w:rPr>
      </w:pPr>
    </w:p>
    <w:p>
      <w:pPr>
        <w:ind w:right="220" w:firstLine="413"/>
        <w:spacing w:after="0" w:line="266" w:lineRule="auto"/>
        <w:tabs>
          <w:tab w:leader="none" w:pos="79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reorganization, merger, consolidation, statutory share exchange or similar form of corporate transaction involving the Company that requires the approval of the Company’s stockholders, whether for such transaction or the issuance of securities in the transaction (a “Business Combination”), in each case, unless following such Business Combination:</w:t>
      </w:r>
    </w:p>
    <w:p>
      <w:pPr>
        <w:spacing w:after="0" w:line="121" w:lineRule="exact"/>
        <w:rPr>
          <w:rFonts w:ascii="Times New Roman" w:cs="Times New Roman" w:eastAsia="Times New Roman" w:hAnsi="Times New Roman"/>
          <w:sz w:val="18"/>
          <w:szCs w:val="18"/>
          <w:color w:val="auto"/>
        </w:rPr>
      </w:pPr>
    </w:p>
    <w:p>
      <w:pPr>
        <w:ind w:left="660" w:right="160" w:hanging="4"/>
        <w:spacing w:after="0" w:line="256" w:lineRule="auto"/>
        <w:tabs>
          <w:tab w:leader="none" w:pos="105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individuals and entities who were the beneficial owners of the Outstanding Company Voting Securities immediately prior to such Business Combination, beneficially own, directly or indirectly, more than 50% of the combined voting power of the then outstanding voting securities entitled to vote generally in the election of members of the board of directors (or the analogous governing body) of the entity resulting from such Business Combination (the “Successor Entity”) (or, if applicable, the ultimate parent entity that directly or indirectly has beneficial ownership of sufficient voting securities to elect a majority of the members of the board of directors (or the analogous governing body) of the Successor Entity (the “Parent Company”));</w:t>
      </w:r>
    </w:p>
    <w:p>
      <w:pPr>
        <w:spacing w:after="0" w:line="133" w:lineRule="exact"/>
        <w:rPr>
          <w:rFonts w:ascii="Times New Roman" w:cs="Times New Roman" w:eastAsia="Times New Roman" w:hAnsi="Times New Roman"/>
          <w:sz w:val="18"/>
          <w:szCs w:val="18"/>
          <w:color w:val="auto"/>
        </w:rPr>
      </w:pPr>
    </w:p>
    <w:p>
      <w:pPr>
        <w:ind w:left="660" w:right="60" w:hanging="4"/>
        <w:spacing w:after="0" w:line="266" w:lineRule="auto"/>
        <w:tabs>
          <w:tab w:leader="none" w:pos="10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beneficially owns (within the meaning of Rule 13d-3 under the Exchange Act), directly or indirectly, more than 50% of the combined voting power of the then outstanding voting securities entitled to vote generally in the election of members of the board of directors (or the analogous governing body) of the Parent Company (or, if there is no Parent Company, the Successor Entity); and</w:t>
      </w:r>
    </w:p>
    <w:p>
      <w:pPr>
        <w:spacing w:after="0" w:line="121" w:lineRule="exact"/>
        <w:rPr>
          <w:rFonts w:ascii="Times New Roman" w:cs="Times New Roman" w:eastAsia="Times New Roman" w:hAnsi="Times New Roman"/>
          <w:sz w:val="18"/>
          <w:szCs w:val="18"/>
          <w:color w:val="auto"/>
        </w:rPr>
      </w:pPr>
    </w:p>
    <w:p>
      <w:pPr>
        <w:ind w:left="660" w:right="260" w:hanging="4"/>
        <w:spacing w:after="0" w:line="266" w:lineRule="auto"/>
        <w:tabs>
          <w:tab w:leader="none" w:pos="111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members of the board of directors (or the analogous governing body) of the Parent Company (or, if there is no Parent Company, the Successor Entity) following the consummation of the Business Combination were Continuing Directors at the time of the Board’s approval of the execution of the initial agreement providing for such Business Combination.</w:t>
      </w:r>
    </w:p>
    <w:p>
      <w:pPr>
        <w:spacing w:after="0" w:line="121" w:lineRule="exact"/>
        <w:rPr>
          <w:rFonts w:ascii="Times New Roman" w:cs="Times New Roman" w:eastAsia="Times New Roman" w:hAnsi="Times New Roman"/>
          <w:sz w:val="18"/>
          <w:szCs w:val="18"/>
          <w:color w:val="auto"/>
        </w:rPr>
      </w:pPr>
    </w:p>
    <w:p>
      <w:pPr>
        <w:ind w:right="120" w:firstLine="413"/>
        <w:spacing w:after="0" w:line="266" w:lineRule="auto"/>
        <w:tabs>
          <w:tab w:leader="none" w:pos="78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 plan of complete liquidation or dissolution of the Company or 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that is not a subsidiary of the Company.</w:t>
      </w:r>
    </w:p>
    <w:p>
      <w:pPr>
        <w:spacing w:after="0" w:line="121" w:lineRule="exact"/>
        <w:rPr>
          <w:rFonts w:ascii="Times New Roman" w:cs="Times New Roman" w:eastAsia="Times New Roman" w:hAnsi="Times New Roman"/>
          <w:sz w:val="18"/>
          <w:szCs w:val="18"/>
          <w:color w:val="auto"/>
        </w:rPr>
      </w:pPr>
    </w:p>
    <w:p>
      <w:pPr>
        <w:ind w:right="180" w:firstLine="413"/>
        <w:spacing w:after="0" w:line="258" w:lineRule="auto"/>
        <w:tabs>
          <w:tab w:leader="none" w:pos="8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individuals who, as of the Effective Date, constitute the Board (the "Incumbent Directors") cease for any reason to constitute at least a majority of the Board during any consecutive twenty-four (24) month period; provided, that any individual who becomes a director subsequent to the Effective Date whose election, or nomination for election by the Company's stockholders, was approved by a vote of at least a majority of the Incumbent Directors then comprising the Board shall be deemed to be an Incumbent Director; provided further, that no individual initially elected or nominated as a director as a result of an actual or threatened election contest shall be deemed an Incumbent Director.</w:t>
      </w:r>
    </w:p>
    <w:p>
      <w:pPr>
        <w:spacing w:after="0" w:line="12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In addition, if a Change in Control (as defined in clauses (a) through (d) above) constitutes a payment event with respect to any Award that provides for the deferral of compensation and is subject to Section 409A of the Code, no payment will be made under that Award on account of a Change in Control unless the event described in clause (a), (b), (c) or (d) above, as applicable, constitutes a “change in control event” as defined in Treasury Regulation Section 1.409A-3(i)(5). Notwithstanding the foregoing, no primary or secondary public offering of the Company's securities shall constitute a Change in Control.</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00"/>
          </w:cols>
          <w:pgMar w:left="320" w:top="927" w:right="379" w:bottom="1440" w:gutter="0" w:footer="0" w:header="0"/>
        </w:sectPr>
      </w:pPr>
    </w:p>
    <w:bookmarkStart w:id="10" w:name="page11"/>
    <w:bookmarkEnd w:id="10"/>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b w:val="1"/>
          <w:bCs w:val="1"/>
          <w:u w:val="single" w:color="auto"/>
          <w:color w:val="auto"/>
        </w:rPr>
        <w:t>Code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and any amendments thereto.</w:t>
      </w:r>
    </w:p>
    <w:p>
      <w:pPr>
        <w:spacing w:after="0" w:line="1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8"/>
          <w:szCs w:val="18"/>
          <w:b w:val="1"/>
          <w:bCs w:val="1"/>
          <w:u w:val="single" w:color="auto"/>
          <w:color w:val="auto"/>
        </w:rPr>
        <w:t>Committee</w:t>
      </w:r>
    </w:p>
    <w:p>
      <w:pPr>
        <w:spacing w:after="0" w:line="17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Compensation Committee of the Board. Unless otherwise determined by the Board, the Committee shall consist solely of two or more non-employee members of the Board, each of whom is intended to qualify as a “non-employee director” as defined by Rule 16b-3 of the Exchange Act or any successor rule and an “independent director” under the rules of any exchange or automated quotation system on which the Common Stock is listed, traded or quoted; provided, however, that any action taken by the Committee shall be valid and effective, whether or not the members of the Committee at the time of such action are later determined not to have satisfied the foregoing requirements. If there is no Compensation Committee of the Board, then “Committee” means the Board; and provided further that with respect to awards made to a member of the Board who is not an employee of the Company, the Manager, the Operating Partnership or one of their respective Affiliates, “Committee” means the Board.</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b w:val="1"/>
          <w:bCs w:val="1"/>
          <w:u w:val="single" w:color="auto"/>
          <w:color w:val="auto"/>
        </w:rPr>
        <w:t>Common Stock</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par value $0.001 per share, of the Company.</w:t>
      </w:r>
    </w:p>
    <w:p>
      <w:pPr>
        <w:spacing w:after="0" w:line="1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b w:val="1"/>
          <w:bCs w:val="1"/>
          <w:u w:val="single" w:color="auto"/>
          <w:color w:val="auto"/>
        </w:rPr>
        <w:t>Common Unit</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Unit</w:t>
      </w:r>
      <w:r>
        <w:rPr>
          <w:rFonts w:ascii="Times New Roman" w:cs="Times New Roman" w:eastAsia="Times New Roman" w:hAnsi="Times New Roman"/>
          <w:sz w:val="18"/>
          <w:szCs w:val="18"/>
          <w:color w:val="auto"/>
        </w:rPr>
        <w:t>” means a “Common Unit” as defined in the Operating Partnership Agreement.</w:t>
      </w:r>
    </w:p>
    <w:p>
      <w:pPr>
        <w:spacing w:after="0" w:line="1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b w:val="1"/>
          <w:bCs w:val="1"/>
          <w:u w:val="single" w:color="auto"/>
          <w:color w:val="auto"/>
        </w:rPr>
        <w:t>Company</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Ellington Financial Inc., a Delaware corporation.</w:t>
      </w:r>
    </w:p>
    <w:p>
      <w:pPr>
        <w:spacing w:after="0" w:line="1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b w:val="1"/>
          <w:bCs w:val="1"/>
          <w:u w:val="single" w:color="auto"/>
          <w:color w:val="auto"/>
        </w:rPr>
        <w:t>Continuing Director</w:t>
      </w:r>
    </w:p>
    <w:p>
      <w:pPr>
        <w:spacing w:after="0" w:line="175"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w:t>
      </w:r>
      <w:r>
        <w:rPr>
          <w:rFonts w:ascii="Times New Roman" w:cs="Times New Roman" w:eastAsia="Times New Roman" w:hAnsi="Times New Roman"/>
          <w:sz w:val="18"/>
          <w:szCs w:val="18"/>
          <w:color w:val="auto"/>
        </w:rPr>
        <w:t>” means any member of the Board, while a member of the Board and (a) who was a member of the Board as of the Effective Date or (b) whose nomination for, or election to, the Board was recommended or approved by a majority of the Continuing Directors.</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b w:val="1"/>
          <w:bCs w:val="1"/>
          <w:u w:val="single" w:color="auto"/>
          <w:color w:val="auto"/>
        </w:rPr>
        <w:t>Control Change Date</w:t>
      </w:r>
    </w:p>
    <w:p>
      <w:pPr>
        <w:spacing w:after="0" w:line="175"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 Change Date</w:t>
      </w:r>
      <w:r>
        <w:rPr>
          <w:rFonts w:ascii="Times New Roman" w:cs="Times New Roman" w:eastAsia="Times New Roman" w:hAnsi="Times New Roman"/>
          <w:sz w:val="18"/>
          <w:szCs w:val="18"/>
          <w:color w:val="auto"/>
        </w:rPr>
        <w:t>” means the date on which a Change in Control occurs. If a Change in Control occurs on account of a series of transactions, the “Control Change Date” is the date determined by the Committee as the date upon which the last of such transactions occurs.</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b w:val="1"/>
          <w:bCs w:val="1"/>
          <w:u w:val="single" w:color="auto"/>
          <w:color w:val="auto"/>
        </w:rPr>
        <w:t>Corresponding SAR</w:t>
      </w:r>
    </w:p>
    <w:p>
      <w:pPr>
        <w:spacing w:after="0" w:line="175" w:lineRule="exact"/>
        <w:rPr>
          <w:sz w:val="20"/>
          <w:szCs w:val="20"/>
          <w:color w:val="auto"/>
        </w:rPr>
      </w:pPr>
    </w:p>
    <w:p>
      <w:pPr>
        <w:ind w:right="680" w:firstLine="40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SAR</w:t>
      </w:r>
      <w:r>
        <w:rPr>
          <w:rFonts w:ascii="Times New Roman" w:cs="Times New Roman" w:eastAsia="Times New Roman" w:hAnsi="Times New Roman"/>
          <w:sz w:val="18"/>
          <w:szCs w:val="18"/>
          <w:color w:val="auto"/>
        </w:rPr>
        <w:t>” means a SAR that is granted in relation to a particular Option and that can be exercised only upon the surrender to the Company, unexercised, of that portion of the Option to which the SAR relates.</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7"/>
          <w:szCs w:val="17"/>
          <w:b w:val="1"/>
          <w:bCs w:val="1"/>
          <w:u w:val="single" w:color="auto"/>
          <w:color w:val="auto"/>
        </w:rPr>
        <w:t>Disability</w:t>
      </w:r>
    </w:p>
    <w:p>
      <w:pPr>
        <w:spacing w:after="0" w:line="175"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with respect to any Participant, except as may otherwise be provided in any Agreement, that the Participant is unable to engage in any substantial gainful activity by reason of any medically determinable physical or mental impairment that can be expected to result in death or can be expected to last for a continuous period of not less than twelve (12) months. Any determination of whether Disability exists shall be made by the Committee in its sole and absolute discretion.</w:t>
      </w:r>
    </w:p>
    <w:p>
      <w:pPr>
        <w:spacing w:after="0" w:line="12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b w:val="1"/>
          <w:bCs w:val="1"/>
          <w:u w:val="single" w:color="auto"/>
          <w:color w:val="auto"/>
        </w:rPr>
        <w:t>Dividend Equivalent Right</w:t>
      </w:r>
    </w:p>
    <w:p>
      <w:pPr>
        <w:spacing w:after="0" w:line="175" w:lineRule="exact"/>
        <w:rPr>
          <w:sz w:val="20"/>
          <w:szCs w:val="20"/>
          <w:color w:val="auto"/>
        </w:rPr>
      </w:pPr>
    </w:p>
    <w:p>
      <w:pPr>
        <w:ind w:right="220" w:firstLine="405"/>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Equivalent Right</w:t>
      </w:r>
      <w:r>
        <w:rPr>
          <w:rFonts w:ascii="Times New Roman" w:cs="Times New Roman" w:eastAsia="Times New Roman" w:hAnsi="Times New Roman"/>
          <w:sz w:val="18"/>
          <w:szCs w:val="18"/>
          <w:color w:val="auto"/>
        </w:rPr>
        <w:t>” means the right, subject to the terms and conditions prescribed by the Committee, of a Participant to receive (or have credited) cash, securities or other property in amounts equivalent to the cash, securities or other property dividends declared on shares of Common Stock with respect to a specified Restricted Stock Unit, Performance Award, Other Equity-Based Award or Incentive Award denominated in Common Stock or other Company securities, as determined by the Committee in its sole discretion. The Committee may provide that Dividend Equivalent Rights (if any) shall be automatically reinvested in additional shares of Common Stock or otherwise reinvested, applied to the purchase of additional Awards under the Plan or deferred without interest to the date of vesting of the associated Award.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927" w:right="339" w:bottom="1440" w:gutter="0" w:footer="0" w:header="0"/>
        </w:sectPr>
      </w:pPr>
    </w:p>
    <w:bookmarkStart w:id="11" w:name="page12"/>
    <w:bookmarkEnd w:id="11"/>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8"/>
          <w:szCs w:val="18"/>
          <w:b w:val="1"/>
          <w:bCs w:val="1"/>
          <w:u w:val="single" w:color="auto"/>
          <w:color w:val="auto"/>
        </w:rPr>
        <w:t>Effective Date</w:t>
      </w:r>
    </w:p>
    <w:p>
      <w:pPr>
        <w:spacing w:after="0" w:line="175"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Subject to the approval of the Plan by the Company’s stockholders in accordance with Article XX, “Effective Date” means the date the Plan is adopted by the Board.</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1.20.</w:t>
      </w:r>
      <w:r>
        <w:rPr>
          <w:sz w:val="20"/>
          <w:szCs w:val="20"/>
          <w:color w:val="auto"/>
        </w:rPr>
        <w:tab/>
      </w:r>
      <w:r>
        <w:rPr>
          <w:rFonts w:ascii="Times New Roman" w:cs="Times New Roman" w:eastAsia="Times New Roman" w:hAnsi="Times New Roman"/>
          <w:sz w:val="18"/>
          <w:szCs w:val="18"/>
          <w:b w:val="1"/>
          <w:bCs w:val="1"/>
          <w:u w:val="single" w:color="auto"/>
          <w:color w:val="auto"/>
        </w:rPr>
        <w:t>Exchange Act</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b w:val="1"/>
          <w:bCs w:val="1"/>
          <w:u w:val="single" w:color="auto"/>
          <w:color w:val="auto"/>
        </w:rPr>
        <w:t>Fair Market Value</w:t>
      </w:r>
    </w:p>
    <w:p>
      <w:pPr>
        <w:spacing w:after="0" w:line="17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on any given date, the reported “closing” price of a share of Common Stock on the New York Stock Exchange for such date or, if there is no closing price for a share of Common Stock on the date in question, the closing price for a share of Common Stock on the last preceding date for which a closing price exists. If, on any given date, the Common Stock is not listed for trading on the New York Stock Exchange, then Fair Market Value shall be the “closing” price of a share of Common Stock on such other exchange on which the Common Stock is listed for trading for such date (or, if there is no closing price for a share of Common Stock on the date in question, the closing price for a share of Common Stock on the last preceding date for which a closing price exists) or, if the Common Stock is not listed on any exchange, the amount determined by the Committee using any reasonable method in good faith and in accordance with the regulations under Section 409A of the Code.</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b w:val="1"/>
          <w:bCs w:val="1"/>
          <w:u w:val="single" w:color="auto"/>
          <w:color w:val="auto"/>
        </w:rPr>
        <w:t>Good Reason</w:t>
      </w:r>
    </w:p>
    <w:p>
      <w:pPr>
        <w:spacing w:after="0" w:line="175" w:lineRule="exact"/>
        <w:rPr>
          <w:sz w:val="20"/>
          <w:szCs w:val="20"/>
          <w:color w:val="auto"/>
        </w:rPr>
      </w:pPr>
    </w:p>
    <w:p>
      <w:pPr>
        <w:ind w:right="660" w:firstLine="40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means, with respect to any Participant, except as may otherwise be provided in any Agreement, the occurrence of any of the following without the Participant's written consent:</w:t>
      </w:r>
    </w:p>
    <w:p>
      <w:pPr>
        <w:spacing w:after="0" w:line="108" w:lineRule="exact"/>
        <w:rPr>
          <w:sz w:val="20"/>
          <w:szCs w:val="20"/>
          <w:color w:val="auto"/>
        </w:rPr>
      </w:pPr>
    </w:p>
    <w:p>
      <w:pPr>
        <w:ind w:left="620" w:hanging="207"/>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Participant's annual base compensation or target annual incentive compensation opportunity;</w:t>
      </w:r>
    </w:p>
    <w:p>
      <w:pPr>
        <w:spacing w:after="0" w:line="171" w:lineRule="exact"/>
        <w:rPr>
          <w:rFonts w:ascii="Times New Roman" w:cs="Times New Roman" w:eastAsia="Times New Roman" w:hAnsi="Times New Roman"/>
          <w:sz w:val="18"/>
          <w:szCs w:val="18"/>
          <w:color w:val="auto"/>
        </w:rPr>
      </w:pPr>
    </w:p>
    <w:p>
      <w:pPr>
        <w:ind w:right="600" w:firstLine="413"/>
        <w:spacing w:after="0" w:line="282" w:lineRule="auto"/>
        <w:tabs>
          <w:tab w:leader="none" w:pos="67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Participant's title, authority, duties or responsibilities, or the assignment to the Participant of duties materially inconsistent with the Participant's position;</w:t>
      </w:r>
    </w:p>
    <w:p>
      <w:pPr>
        <w:spacing w:after="0" w:line="107" w:lineRule="exact"/>
        <w:rPr>
          <w:rFonts w:ascii="Times New Roman" w:cs="Times New Roman" w:eastAsia="Times New Roman" w:hAnsi="Times New Roman"/>
          <w:sz w:val="18"/>
          <w:szCs w:val="18"/>
          <w:color w:val="auto"/>
        </w:rPr>
      </w:pPr>
    </w:p>
    <w:p>
      <w:pPr>
        <w:ind w:right="240" w:firstLine="413"/>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relocation of the Participant's principal place of employment or service to a location more than fifty (50) miles from the Participant's then-current principal place of employment or service; or</w:t>
      </w:r>
    </w:p>
    <w:p>
      <w:pPr>
        <w:spacing w:after="0" w:line="107"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the Company or the Manager of any employment, consulting, management or similar agreement governing the Participant's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w:t>
      </w:r>
    </w:p>
    <w:p>
      <w:pPr>
        <w:spacing w:after="0" w:line="15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provided, however, that no event or condition shall constitute Good Reason unless (x) the Participant provides written notice to the Company of the occurrence of such event or condition within ninety (90) days of the initial occurrence thereof, (y) the Company or the Manager, as applicable, fails to remedy such event or condition within thirty (30) days after receipt of such written notice, and (z) the Participant's termination of services occurs no later than one hundred eighty (180) days after the initial occurrence of such event or condition.</w:t>
      </w:r>
    </w:p>
    <w:p>
      <w:pPr>
        <w:spacing w:after="0" w:line="12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b w:val="1"/>
          <w:bCs w:val="1"/>
          <w:u w:val="single" w:color="auto"/>
          <w:color w:val="auto"/>
        </w:rPr>
        <w:t>Incentive Award</w:t>
      </w:r>
    </w:p>
    <w:p>
      <w:pPr>
        <w:spacing w:after="0" w:line="175"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Award</w:t>
      </w:r>
      <w:r>
        <w:rPr>
          <w:rFonts w:ascii="Times New Roman" w:cs="Times New Roman" w:eastAsia="Times New Roman" w:hAnsi="Times New Roman"/>
          <w:sz w:val="18"/>
          <w:szCs w:val="18"/>
          <w:color w:val="auto"/>
        </w:rPr>
        <w:t>” means an award granted under Article XII which, subject to the terms and conditions prescribed by the Committee, entitles the Participant to receive a payment from the Company or an Affiliate of the Company.</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b w:val="1"/>
          <w:bCs w:val="1"/>
          <w:u w:val="single" w:color="auto"/>
          <w:color w:val="auto"/>
        </w:rPr>
        <w:t>Initial Value</w:t>
      </w:r>
    </w:p>
    <w:p>
      <w:pPr>
        <w:spacing w:after="0" w:line="175" w:lineRule="exact"/>
        <w:rPr>
          <w:sz w:val="20"/>
          <w:szCs w:val="20"/>
          <w:color w:val="auto"/>
        </w:rPr>
      </w:pPr>
    </w:p>
    <w:p>
      <w:pPr>
        <w:ind w:firstLine="405"/>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Initial Value</w:t>
      </w:r>
      <w:r>
        <w:rPr>
          <w:rFonts w:ascii="Times New Roman" w:cs="Times New Roman" w:eastAsia="Times New Roman" w:hAnsi="Times New Roman"/>
          <w:sz w:val="17"/>
          <w:szCs w:val="17"/>
          <w:color w:val="auto"/>
        </w:rPr>
        <w:t>” means, with respect to a Corresponding SAR, the Option price per share of the related Option and, with respect to a SAR granted independently of an Option, the price per share of Common Stock as determined by the Committee on the date of grant; provided, however, that the price shall not be less than the Fair Market Value on the date of grant (or 110% of the Fair Market Value on the date of grant in the case of a Corresponding SAR that relates to an incentive stock option granted to a Ten Percent Stockholder). Except as provided in Articles XIII, XIV and XVII, without the approval of the Company’s stockholders (i) the Initial Value of an outstanding SAR may not be reduced (by amendment, cancellation and new grant or otherwise) and</w:t>
      </w:r>
    </w:p>
    <w:p>
      <w:pPr>
        <w:spacing w:after="0" w:line="3" w:lineRule="exact"/>
        <w:rPr>
          <w:sz w:val="20"/>
          <w:szCs w:val="20"/>
          <w:color w:val="auto"/>
        </w:rPr>
      </w:pPr>
    </w:p>
    <w:p>
      <w:pPr>
        <w:ind w:right="280" w:firstLine="8"/>
        <w:spacing w:after="0" w:line="260" w:lineRule="auto"/>
        <w:tabs>
          <w:tab w:leader="none" w:pos="2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shall be made in cancellation of a SAR if, on the date of amendment, cancellation, new grant or payment, the Initial Value exceeds Fair Market Value.</w:t>
      </w: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80"/>
          </w:cols>
          <w:pgMar w:left="320" w:top="927" w:right="399" w:bottom="1440" w:gutter="0" w:footer="0" w:header="0"/>
        </w:sectPr>
      </w:pPr>
    </w:p>
    <w:bookmarkStart w:id="12" w:name="page13"/>
    <w:bookmarkEnd w:id="12"/>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7"/>
          <w:szCs w:val="17"/>
          <w:b w:val="1"/>
          <w:bCs w:val="1"/>
          <w:u w:val="single" w:color="auto"/>
          <w:color w:val="auto"/>
        </w:rPr>
        <w:t>LTIP Unit</w:t>
      </w:r>
    </w:p>
    <w:p>
      <w:pPr>
        <w:spacing w:after="0" w:line="175"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LTIP Unit</w:t>
      </w:r>
      <w:r>
        <w:rPr>
          <w:rFonts w:ascii="Times New Roman" w:cs="Times New Roman" w:eastAsia="Times New Roman" w:hAnsi="Times New Roman"/>
          <w:sz w:val="18"/>
          <w:szCs w:val="18"/>
          <w:color w:val="auto"/>
        </w:rPr>
        <w:t>” means an “LTIP Unit” as defined in the Operating Partnership Agreement. An LTIP Unit granted under the Plan represents the right to receive the benefits, payments or other rights in respect of an LTIP Unit set forth in the Operating Partnership Agreement, subject to the terms and conditions of the applicable Agreement and the Operating Partnership Agreement, as applicable.</w:t>
      </w:r>
    </w:p>
    <w:p>
      <w:pPr>
        <w:spacing w:after="0" w:line="11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7"/>
          <w:szCs w:val="17"/>
          <w:b w:val="1"/>
          <w:bCs w:val="1"/>
          <w:u w:val="single" w:color="auto"/>
          <w:color w:val="auto"/>
        </w:rPr>
        <w:t>Management Agreement</w:t>
      </w:r>
    </w:p>
    <w:p>
      <w:pPr>
        <w:spacing w:after="0" w:line="175"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Agreement</w:t>
      </w:r>
      <w:r>
        <w:rPr>
          <w:rFonts w:ascii="Times New Roman" w:cs="Times New Roman" w:eastAsia="Times New Roman" w:hAnsi="Times New Roman"/>
          <w:sz w:val="18"/>
          <w:szCs w:val="18"/>
          <w:color w:val="auto"/>
        </w:rPr>
        <w:t>” means the Ninth Amended and Restated Management Agreement, dated and effective as of August 11, 2025, by and among the Company, the Operating Partnership and the Manager, as it may be amended, restated or otherwise modified from time to time in accordance with its terms, or any other agreement in place from time to time that provides for the grant of compensation to the Manager.</w:t>
      </w:r>
    </w:p>
    <w:p>
      <w:pPr>
        <w:spacing w:after="0" w:line="11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8"/>
          <w:szCs w:val="18"/>
          <w:b w:val="1"/>
          <w:bCs w:val="1"/>
          <w:u w:val="single" w:color="auto"/>
          <w:color w:val="auto"/>
        </w:rPr>
        <w:t>Manager</w:t>
      </w:r>
    </w:p>
    <w:p>
      <w:pPr>
        <w:spacing w:after="0" w:line="175"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means Ellington Financial Management LLC, the Company’s external manager, or any entity that becomes the Company’s external manager.</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8"/>
          <w:szCs w:val="18"/>
          <w:b w:val="1"/>
          <w:bCs w:val="1"/>
          <w:u w:val="single" w:color="auto"/>
          <w:color w:val="auto"/>
        </w:rPr>
        <w:t>Non-Employee Director</w:t>
      </w:r>
    </w:p>
    <w:p>
      <w:pPr>
        <w:spacing w:after="0" w:line="175"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means a member of the Board who is not an employee or officer of the Company, the Manager or any of their respective Affiliates.</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8"/>
          <w:szCs w:val="18"/>
          <w:b w:val="1"/>
          <w:bCs w:val="1"/>
          <w:u w:val="single" w:color="auto"/>
          <w:color w:val="auto"/>
        </w:rPr>
        <w:t>Operating Partnership</w:t>
      </w:r>
    </w:p>
    <w:p>
      <w:pPr>
        <w:spacing w:after="0" w:line="175"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Operating Partnership</w:t>
      </w:r>
      <w:r>
        <w:rPr>
          <w:rFonts w:ascii="Times New Roman" w:cs="Times New Roman" w:eastAsia="Times New Roman" w:hAnsi="Times New Roman"/>
          <w:sz w:val="18"/>
          <w:szCs w:val="18"/>
          <w:color w:val="auto"/>
        </w:rPr>
        <w:t>” means Ellington Financial Operating Partnership LLC, which is the Company’s operating partnership as of the Effective Date, or any entity that becomes the Company’s operating partnership.</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1.30.</w:t>
      </w:r>
      <w:r>
        <w:rPr>
          <w:sz w:val="20"/>
          <w:szCs w:val="20"/>
          <w:color w:val="auto"/>
        </w:rPr>
        <w:tab/>
      </w:r>
      <w:r>
        <w:rPr>
          <w:rFonts w:ascii="Times New Roman" w:cs="Times New Roman" w:eastAsia="Times New Roman" w:hAnsi="Times New Roman"/>
          <w:sz w:val="18"/>
          <w:szCs w:val="18"/>
          <w:b w:val="1"/>
          <w:bCs w:val="1"/>
          <w:u w:val="single" w:color="auto"/>
          <w:color w:val="auto"/>
        </w:rPr>
        <w:t>Operating Partnership Agreement</w:t>
      </w:r>
    </w:p>
    <w:p>
      <w:pPr>
        <w:spacing w:after="0" w:line="175"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Operating Partnership Agreement</w:t>
      </w:r>
      <w:r>
        <w:rPr>
          <w:rFonts w:ascii="Times New Roman" w:cs="Times New Roman" w:eastAsia="Times New Roman" w:hAnsi="Times New Roman"/>
          <w:sz w:val="18"/>
          <w:szCs w:val="18"/>
          <w:color w:val="auto"/>
        </w:rPr>
        <w:t>” means the Amended and Restated Limited Liability Company Operating Agreement of Ellington Financial Operating Partnership LLC, dated as of December 14, 2023, as it may be amended, restated or otherwise modified from time to time in accordance with its terms.</w:t>
      </w:r>
    </w:p>
    <w:p>
      <w:pPr>
        <w:spacing w:after="0" w:line="11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7"/>
          <w:szCs w:val="17"/>
          <w:b w:val="1"/>
          <w:bCs w:val="1"/>
          <w:u w:val="single" w:color="auto"/>
          <w:color w:val="auto"/>
        </w:rPr>
        <w:t>Option</w:t>
      </w:r>
    </w:p>
    <w:p>
      <w:pPr>
        <w:spacing w:after="0" w:line="175"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 stock option that entitles the holder to purchase from the Company a stated number of shares of Common Stock at the price set forth in an Agreement.</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b w:val="1"/>
          <w:bCs w:val="1"/>
          <w:u w:val="single" w:color="auto"/>
          <w:color w:val="auto"/>
        </w:rPr>
        <w:t>Other Equity-Based Award</w:t>
      </w:r>
    </w:p>
    <w:p>
      <w:pPr>
        <w:spacing w:after="0" w:line="17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Equity-Based Award</w:t>
      </w:r>
      <w:r>
        <w:rPr>
          <w:rFonts w:ascii="Times New Roman" w:cs="Times New Roman" w:eastAsia="Times New Roman" w:hAnsi="Times New Roman"/>
          <w:sz w:val="18"/>
          <w:szCs w:val="18"/>
          <w:color w:val="auto"/>
        </w:rPr>
        <w:t>” means any Award other than an Incentive Award, Option, SAR, Stock Award, award of Restricted Stock Units or Performance Award, which, subject to such terms and conditions as may be prescribed by the Committee, entitles a Participant to receive Common Stock or rights or units valued in whole or in part by reference to, or otherwise based on, Common Stock (including securities convertible into Common Stock) or other equity interests, including LTIP Units.</w:t>
      </w:r>
    </w:p>
    <w:p>
      <w:pPr>
        <w:spacing w:after="0" w:line="12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b w:val="1"/>
          <w:bCs w:val="1"/>
          <w:u w:val="single" w:color="auto"/>
          <w:color w:val="auto"/>
        </w:rPr>
        <w:t>Participant</w:t>
      </w:r>
    </w:p>
    <w:p>
      <w:pPr>
        <w:spacing w:after="0" w:line="17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(i) an employee or officer of the Company or an Affiliate of the Company, a member of the Board, or an individual who provides services to the Company or an Affiliate of the Company (including an individual who provides services to the Company or an Affiliate of the Company by virtue of employment with, or providing services to, the Manager or the Operating Partnership or an Affiliate of the Manager or the Operating Partnership) or (ii) the Manager and any consultant or advisor to the Company or to any parent or subsidiary of the Company that is a non-natural person, in each case, selected by the Committee to receive one or more Awards.</w:t>
      </w:r>
    </w:p>
    <w:p>
      <w:pPr>
        <w:spacing w:after="0" w:line="1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7"/>
          <w:szCs w:val="17"/>
          <w:b w:val="1"/>
          <w:bCs w:val="1"/>
          <w:u w:val="single" w:color="auto"/>
          <w:color w:val="auto"/>
        </w:rPr>
        <w:t>Performance Award</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Award</w:t>
      </w:r>
      <w:r>
        <w:rPr>
          <w:rFonts w:ascii="Times New Roman" w:cs="Times New Roman" w:eastAsia="Times New Roman" w:hAnsi="Times New Roman"/>
          <w:sz w:val="18"/>
          <w:szCs w:val="18"/>
          <w:color w:val="auto"/>
        </w:rPr>
        <w:t>” means an Award granted to a Participant that is based upon Performance Goals specified by the Committee.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927" w:right="359" w:bottom="1440" w:gutter="0" w:footer="0" w:header="0"/>
        </w:sectPr>
      </w:pPr>
    </w:p>
    <w:bookmarkStart w:id="13" w:name="page14"/>
    <w:bookmarkEnd w:id="13"/>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8"/>
          <w:szCs w:val="18"/>
          <w:b w:val="1"/>
          <w:bCs w:val="1"/>
          <w:u w:val="single" w:color="auto"/>
          <w:color w:val="auto"/>
        </w:rPr>
        <w:t>Performance Goal</w:t>
      </w:r>
    </w:p>
    <w:p>
      <w:pPr>
        <w:spacing w:after="0" w:line="175"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Goal</w:t>
      </w:r>
      <w:r>
        <w:rPr>
          <w:rFonts w:ascii="Times New Roman" w:cs="Times New Roman" w:eastAsia="Times New Roman" w:hAnsi="Times New Roman"/>
          <w:sz w:val="18"/>
          <w:szCs w:val="18"/>
          <w:color w:val="auto"/>
        </w:rPr>
        <w:t>” means any performance objective established by the Committee, whether measured on an absolute or relative basis, individually or in combination, and determined in accordance with such criteria and on such terms as the Committee deems appropriate. Performance Goals may include, without limitation, financial, operational, strategic, market-based, or individual performance objectives.</w:t>
      </w:r>
    </w:p>
    <w:p>
      <w:pPr>
        <w:spacing w:after="0" w:line="11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1.36.</w:t>
      </w:r>
      <w:r>
        <w:rPr>
          <w:sz w:val="20"/>
          <w:szCs w:val="20"/>
          <w:color w:val="auto"/>
        </w:rPr>
        <w:tab/>
      </w:r>
      <w:r>
        <w:rPr>
          <w:rFonts w:ascii="Times New Roman" w:cs="Times New Roman" w:eastAsia="Times New Roman" w:hAnsi="Times New Roman"/>
          <w:sz w:val="18"/>
          <w:szCs w:val="18"/>
          <w:b w:val="1"/>
          <w:bCs w:val="1"/>
          <w:u w:val="single" w:color="auto"/>
          <w:color w:val="auto"/>
        </w:rPr>
        <w:t>Person</w:t>
      </w:r>
    </w:p>
    <w:p>
      <w:pPr>
        <w:spacing w:after="0" w:line="175"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firm, corporation, partnership, or other entity. “Person” also includes any group as defined in Sections 13(d)(3) and 14(d)(2) of the Exchange Act. Notwithstanding the preceding sentences, the term “Person” does not include (i) the Company or any of its subsidiaries, (ii) any trustee or other fiduciary holding securities under an employee benefit plan of the Company or any of its Affiliates, (iii) any underwriter temporarily holding securities pursuant to an offering of such securities or (iv) any corporation owned, directly or indirectly, by the stockholders of the Company in substantially the same proportions as their ownership of the Common Stock.</w:t>
      </w:r>
    </w:p>
    <w:p>
      <w:pPr>
        <w:spacing w:after="0" w:line="1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1.37.</w:t>
      </w:r>
      <w:r>
        <w:rPr>
          <w:sz w:val="20"/>
          <w:szCs w:val="20"/>
          <w:color w:val="auto"/>
        </w:rPr>
        <w:tab/>
      </w:r>
      <w:r>
        <w:rPr>
          <w:rFonts w:ascii="Times New Roman" w:cs="Times New Roman" w:eastAsia="Times New Roman" w:hAnsi="Times New Roman"/>
          <w:sz w:val="18"/>
          <w:szCs w:val="18"/>
          <w:b w:val="1"/>
          <w:bCs w:val="1"/>
          <w:u w:val="single" w:color="auto"/>
          <w:color w:val="auto"/>
        </w:rPr>
        <w:t>Plan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Ellington Financial Inc. 2026 Equity Incentive Plan, as amended from time to time.</w:t>
      </w:r>
    </w:p>
    <w:p>
      <w:pPr>
        <w:spacing w:after="0" w:line="1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1.38.</w:t>
      </w:r>
      <w:r>
        <w:rPr>
          <w:sz w:val="20"/>
          <w:szCs w:val="20"/>
          <w:color w:val="auto"/>
        </w:rPr>
        <w:tab/>
      </w:r>
      <w:r>
        <w:rPr>
          <w:rFonts w:ascii="Times New Roman" w:cs="Times New Roman" w:eastAsia="Times New Roman" w:hAnsi="Times New Roman"/>
          <w:sz w:val="17"/>
          <w:szCs w:val="17"/>
          <w:b w:val="1"/>
          <w:bCs w:val="1"/>
          <w:u w:val="single" w:color="auto"/>
          <w:color w:val="auto"/>
        </w:rPr>
        <w:t>Qualifying Termination</w:t>
      </w:r>
    </w:p>
    <w:p>
      <w:pPr>
        <w:spacing w:after="0" w:line="175" w:lineRule="exact"/>
        <w:rPr>
          <w:sz w:val="20"/>
          <w:szCs w:val="20"/>
          <w:color w:val="auto"/>
        </w:rPr>
      </w:pPr>
    </w:p>
    <w:p>
      <w:pPr>
        <w:jc w:val="both"/>
        <w:ind w:firstLine="405"/>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Qualifying Termination</w:t>
      </w:r>
      <w:r>
        <w:rPr>
          <w:rFonts w:ascii="Times New Roman" w:cs="Times New Roman" w:eastAsia="Times New Roman" w:hAnsi="Times New Roman"/>
          <w:sz w:val="17"/>
          <w:szCs w:val="17"/>
          <w:color w:val="auto"/>
        </w:rPr>
        <w:t>" means, in connection with a Change in Control, a termination of a Participant's services (i) by the Company, the Manager or any of their respective Affiliates (or any successor thereto) without Cause, or (ii) by the Participant for Good Reason, in each case, occurring on or after the date that is three (3) months prior to the Control Change Date and on or before the date that is twenty-four (24) months following the Control Change Date.</w:t>
      </w:r>
    </w:p>
    <w:p>
      <w:pPr>
        <w:spacing w:after="0" w:line="10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1.39.</w:t>
      </w:r>
      <w:r>
        <w:rPr>
          <w:sz w:val="20"/>
          <w:szCs w:val="20"/>
          <w:color w:val="auto"/>
        </w:rPr>
        <w:tab/>
      </w:r>
      <w:r>
        <w:rPr>
          <w:rFonts w:ascii="Times New Roman" w:cs="Times New Roman" w:eastAsia="Times New Roman" w:hAnsi="Times New Roman"/>
          <w:sz w:val="18"/>
          <w:szCs w:val="18"/>
          <w:b w:val="1"/>
          <w:bCs w:val="1"/>
          <w:u w:val="single" w:color="auto"/>
          <w:color w:val="auto"/>
        </w:rPr>
        <w:t>Restricted Stock</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a share of Common Stock granted to a Participant that is subject to certain restrictions and a risk of forfeiture.</w:t>
      </w:r>
    </w:p>
    <w:p>
      <w:pPr>
        <w:spacing w:after="0" w:line="1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1.40.</w:t>
      </w:r>
      <w:r>
        <w:rPr>
          <w:sz w:val="20"/>
          <w:szCs w:val="20"/>
          <w:color w:val="auto"/>
        </w:rPr>
        <w:tab/>
      </w:r>
      <w:r>
        <w:rPr>
          <w:rFonts w:ascii="Times New Roman" w:cs="Times New Roman" w:eastAsia="Times New Roman" w:hAnsi="Times New Roman"/>
          <w:sz w:val="18"/>
          <w:szCs w:val="18"/>
          <w:b w:val="1"/>
          <w:bCs w:val="1"/>
          <w:u w:val="single" w:color="auto"/>
          <w:color w:val="auto"/>
        </w:rPr>
        <w:t>Restricted Stock Unit</w:t>
      </w:r>
    </w:p>
    <w:p>
      <w:pPr>
        <w:spacing w:after="0" w:line="175"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means a right granted to a Participant under Article IX entitling the Participant to receive a payment (in cash, Common Stock or a combination thereof) on a specified settlement date equal to the value of a share of Common Stock.</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b w:val="1"/>
          <w:bCs w:val="1"/>
          <w:u w:val="single" w:color="auto"/>
          <w:color w:val="auto"/>
        </w:rPr>
        <w:t>SAR</w:t>
      </w:r>
    </w:p>
    <w:p>
      <w:pPr>
        <w:spacing w:after="0" w:line="175"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means a stock appreciation right that in accordance with the terms of an Agreement entitles the holder to receive, with respect to each share of Common Stock encompassed by the exercise of the SAR, the excess, if any, of the Fair Market Value at the time of exercise over the Initial Value. References to “SARs” include both Corresponding SARs and SARs granted independently of Options, unless the context requires otherwise.</w:t>
      </w:r>
    </w:p>
    <w:p>
      <w:pPr>
        <w:spacing w:after="0" w:line="11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b w:val="1"/>
          <w:bCs w:val="1"/>
          <w:u w:val="single" w:color="auto"/>
          <w:color w:val="auto"/>
        </w:rPr>
        <w:t>Stock Award</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Award</w:t>
      </w:r>
      <w:r>
        <w:rPr>
          <w:rFonts w:ascii="Times New Roman" w:cs="Times New Roman" w:eastAsia="Times New Roman" w:hAnsi="Times New Roman"/>
          <w:sz w:val="18"/>
          <w:szCs w:val="18"/>
          <w:color w:val="auto"/>
        </w:rPr>
        <w:t>” means Restricted Stock or unrestricted Common Stock awarded to a Participant under Article VIII.</w:t>
      </w:r>
    </w:p>
    <w:p>
      <w:pPr>
        <w:spacing w:after="0" w:line="1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7"/>
          <w:szCs w:val="17"/>
          <w:b w:val="1"/>
          <w:bCs w:val="1"/>
          <w:u w:val="single" w:color="auto"/>
          <w:color w:val="auto"/>
        </w:rPr>
        <w:t>Substitute Award</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Substitute Award</w:t>
      </w:r>
      <w:r>
        <w:rPr>
          <w:rFonts w:ascii="Times New Roman" w:cs="Times New Roman" w:eastAsia="Times New Roman" w:hAnsi="Times New Roman"/>
          <w:sz w:val="18"/>
          <w:szCs w:val="18"/>
          <w:color w:val="auto"/>
        </w:rPr>
        <w:t>” means an Award granted in substitution for a similar award as a result of certain business transactions.</w:t>
      </w:r>
    </w:p>
    <w:p>
      <w:pPr>
        <w:spacing w:after="0" w:line="1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7"/>
          <w:szCs w:val="17"/>
          <w:b w:val="1"/>
          <w:bCs w:val="1"/>
          <w:u w:val="single" w:color="auto"/>
          <w:color w:val="auto"/>
        </w:rPr>
        <w:t>Ten Percent Stockholder</w:t>
      </w:r>
    </w:p>
    <w:p>
      <w:pPr>
        <w:spacing w:after="0" w:line="17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 Percent Stockholder</w:t>
      </w:r>
      <w:r>
        <w:rPr>
          <w:rFonts w:ascii="Times New Roman" w:cs="Times New Roman" w:eastAsia="Times New Roman" w:hAnsi="Times New Roman"/>
          <w:sz w:val="18"/>
          <w:szCs w:val="18"/>
          <w:color w:val="auto"/>
        </w:rPr>
        <w:t>” means any individual owning more than ten percent (10%) of the total combined voting power of all classes of stock of the Company or of a “parent corporation” or “subsidiary corporation” (as such terms are defined in Section 424 of the Code) of the Company. An individual shall be considered to own any voting shares owned (directly or indirectly) by or for his or her brothers, sisters, spouse, ancestors or lineal descendants and shall be considered to own proportionately any voting shares owned (directly or indirectly) by or for a corporation, partnership, estate or trust of which such individual is a stockholder, partner or beneficiary.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927" w:right="339" w:bottom="1440" w:gutter="0" w:footer="0" w:header="0"/>
        </w:sectPr>
      </w:pPr>
    </w:p>
    <w:bookmarkStart w:id="14" w:name="page15"/>
    <w:bookmarkEnd w:id="14"/>
    <w:p>
      <w:pPr>
        <w:ind w:left="532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PURPOSES</w:t>
      </w:r>
    </w:p>
    <w:p>
      <w:pPr>
        <w:spacing w:after="0" w:line="72"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The Plan is intended to assist the Company and its Affiliates in recruiting and retaining the Manager, employees, members of the Board and other individuals (including non-natural persons) who provide services to the Company, the Manager, the Operating Partnership or an Affiliate of the Company, the Manager or the Operating Partnership with ability and initiative by enabling such persons to participate in the future success of the Company and its Affiliates and to associate their interests with those of the Company and its stockholders. The Plan is intended to permit the grant of both Options qualifying under Section 422 of the Code (“incentive stock options”) and Options not so qualifying, and the grant of SARs, Stock Awards, awards of Restricted Stock Units, Performance Awards, Other Equity-Based Awards (including LTIP Units), Incentive Awards, and Substitute Awards in accordance with the Plan and any procedures that may be established by the Committee. No Option that is intended to be an incentive stock option shall be invalid for failure to qualify as an incentive stock option.</w:t>
      </w:r>
    </w:p>
    <w:p>
      <w:pPr>
        <w:spacing w:after="0" w:line="13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72"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Plan shall be administered by the Committee. The Committee shall have authority to grant Awards upon such terms (not inconsistent with the provisions of the Plan), as the Committee may consider appropriate. Such terms may include conditions (in addition to those contained in the Plan), on the transferability, forfeitability and exercisability of all or any part of an Award. The Committee may, in its discretion, make any amendments, modifications or adjustments to outstanding Awards and the terms thereof. In addition, the Committee shall have complete authority to interpret all provisions of the Plan; to prescribe the form of Agreements; to adopt, amend, and rescind rules and regulations pertaining to the administration of the Plan (including rules and regulations that require or allow Participants to defer the payment of benefits under the Plan); and to make all other determinations necessary or advisable for the administration of the Plan.</w:t>
      </w:r>
    </w:p>
    <w:p>
      <w:pPr>
        <w:spacing w:after="0" w:line="13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Committee’s determinations under the Plan (including without limitation, determinations of the individuals to receive Awards, the form, amount and timing of Awards, the terms and provisions of Awards and the Agreements) need not be uniform and may be made by the Committee selectively among individuals who receive, or are eligible to receive, Awards, whether or not such persons are similarly situated. The express grant in the Plan of any specific power to the Committee with respect to the administration or interpretation of the Plan shall not be construed as limiting any power or authority of the Committee with respect to the administration or interpretation of the Plan. Any decision made, or action taken, by the Committee in connection with the administration of the Plan shall be final and conclusive. The members of the Committee shall not be liable for any act done in good faith with respect to the Plan or any Agreement or Award. All expenses of administering the Plan shall be borne by the Company.</w:t>
      </w:r>
    </w:p>
    <w:p>
      <w:pPr>
        <w:spacing w:after="0" w:line="135"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 xml:space="preserve">The Committee may delegate any or all of its powers and duties under the Plan to a subcommittee of directors or to any officer of the Company or an Affiliate of the Company (including the Manager or the Operating Partnership), including the power to perform administrative functions and grant Awards;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such delegation does not (i) violate state or corporate law or (ii) result in the loss of an exemption under Rule 16b-3(d)(1)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Awards granted to Participants subject to Section 16 of the Exchange Act in respect of the Company. Upon any such delegation, all references in the Plan to the “Committee,” other than in Articles XIV and XVII, shall be deemed to include any such subcommittee or officer to whom such powers have been delegated by the Committee. Any such delegation shall not limit the right of such subcommittee members or such an officer to receive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subcommittee members and any such officer may not grant Awards to himself or herself, a member of the Board, or any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of the Company or an Affiliate of the Company (including the Manager or the Operating Partnership), or take any action with respect to any Award previously granted to himself or herself, a member of the Board, or any executive officer of the Company or an Affiliate of the Company (including the Manager or the Operating Partnership). The Committee may revoke or amend the terms of any such delegation at any time, but such revocation shall not invalidate any prior actions of the Committee’s delegate(s) that were consistent with the terms of the Plan and the Committee’s prior delegation.</w:t>
      </w:r>
    </w:p>
    <w:p>
      <w:pPr>
        <w:spacing w:after="0" w:line="13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72"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Any officer or employee of the Company or an Affiliate of the Company (including an entity that becomes an Affiliate of the Company after the adoption of the Plan), and any member of the Board is eligible to participate in the Plan. In addition, any other individual who provides services to the Company or an Affiliate of the Company (including an individual who provides services to the Company or an Affiliate of the Company by virtue of employment with, or providing services to, the Manager or the Operating Partnership or an Affiliate of the Manager or the Operating Partnership), the Manager and any consultant or advisor to the Company or to any parent or subsidiary of the Company that is a non-natural person is eligible to participate in the Plan if the Committee, in its sole reasonable discretion, determines that the participation of such individual is in the best interest of the Company.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927" w:right="339" w:bottom="1440" w:gutter="0" w:footer="0" w:header="0"/>
        </w:sectPr>
      </w:pPr>
    </w:p>
    <w:bookmarkStart w:id="15" w:name="page16"/>
    <w:bookmarkEnd w:id="15"/>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COMMON SHARES SUBJECT TO PLAN</w:t>
      </w:r>
    </w:p>
    <w:p>
      <w:pPr>
        <w:spacing w:after="0" w:line="14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5.01.</w:t>
      </w:r>
      <w:r>
        <w:rPr>
          <w:sz w:val="20"/>
          <w:szCs w:val="20"/>
          <w:color w:val="auto"/>
        </w:rPr>
        <w:tab/>
      </w:r>
      <w:r>
        <w:rPr>
          <w:rFonts w:ascii="Times New Roman" w:cs="Times New Roman" w:eastAsia="Times New Roman" w:hAnsi="Times New Roman"/>
          <w:sz w:val="17"/>
          <w:szCs w:val="17"/>
          <w:b w:val="1"/>
          <w:bCs w:val="1"/>
          <w:u w:val="single" w:color="auto"/>
          <w:color w:val="auto"/>
        </w:rPr>
        <w:t>Common Stock Issued</w:t>
      </w:r>
    </w:p>
    <w:p>
      <w:pPr>
        <w:spacing w:after="0" w:line="9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Upon the grant, exercise or settlement of an Award, the Company may deliver to the Participant shares of Common Stock from its authorized but unissued shares of Common Stock.</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5.02.</w:t>
      </w:r>
      <w:r>
        <w:rPr>
          <w:sz w:val="20"/>
          <w:szCs w:val="20"/>
          <w:color w:val="auto"/>
        </w:rPr>
        <w:tab/>
      </w:r>
      <w:r>
        <w:rPr>
          <w:rFonts w:ascii="Times New Roman" w:cs="Times New Roman" w:eastAsia="Times New Roman" w:hAnsi="Times New Roman"/>
          <w:sz w:val="17"/>
          <w:szCs w:val="17"/>
          <w:b w:val="1"/>
          <w:bCs w:val="1"/>
          <w:u w:val="single" w:color="auto"/>
          <w:color w:val="auto"/>
        </w:rPr>
        <w:t>Aggregate Limit</w:t>
      </w:r>
    </w:p>
    <w:p>
      <w:pPr>
        <w:spacing w:after="0" w:line="9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Subject to adjustment as provided under Article XIV, the maximum aggregate number of shares of Common Stock that may be delivered with respect to Awards under the Plan (and the maximum aggregate number of shares of Common Stock that may be issued under the Plan through incentive stock options granted under the Plan) is equal to 12,000,000 shares. Other Equity-Based Awards that are LTIP Units shall reduce the maximum aggregate number of shares of Common Stock that may be issued under the Plan on a one-for-one basis (i.e., each LTIP Unit shall be treated as an award of a share of Common Stock).</w:t>
      </w:r>
    </w:p>
    <w:p>
      <w:pPr>
        <w:spacing w:after="0" w:line="1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5.03.</w:t>
      </w:r>
      <w:r>
        <w:rPr>
          <w:sz w:val="20"/>
          <w:szCs w:val="20"/>
          <w:color w:val="auto"/>
        </w:rPr>
        <w:tab/>
      </w:r>
      <w:r>
        <w:rPr>
          <w:rFonts w:ascii="Times New Roman" w:cs="Times New Roman" w:eastAsia="Times New Roman" w:hAnsi="Times New Roman"/>
          <w:sz w:val="17"/>
          <w:szCs w:val="17"/>
          <w:b w:val="1"/>
          <w:bCs w:val="1"/>
          <w:u w:val="single" w:color="auto"/>
          <w:color w:val="auto"/>
        </w:rPr>
        <w:t>Reallocation of Shares</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If any Award (including LTIP Units) expires, is forfeited or is terminated without having been exercised, or is settled in cash without a requirement for the delivery of Common Stock, then the shares of Common Stock covered by such lapsed, cancelled, expired, unexercised or cash-settled portion of such Award and any forfeited, lapsed, cancelled or expired LTIP Units shall be available for the grant of other Awards under the Plan.</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Notwithstanding the foregoing, the following shares of Common Stock shall not again be available for issuance under the Plan:</w:t>
      </w:r>
    </w:p>
    <w:p>
      <w:pPr>
        <w:spacing w:after="0" w:line="171" w:lineRule="exact"/>
        <w:rPr>
          <w:sz w:val="20"/>
          <w:szCs w:val="20"/>
          <w:color w:val="auto"/>
        </w:rPr>
      </w:pPr>
    </w:p>
    <w:p>
      <w:pPr>
        <w:ind w:firstLine="413"/>
        <w:spacing w:after="0" w:line="282" w:lineRule="auto"/>
        <w:tabs>
          <w:tab w:leader="none" w:pos="6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that were subject to a stock-settled Option or SAR and were not issued upon the net settlement or net exercise of such Option or SAR;</w:t>
      </w:r>
    </w:p>
    <w:p>
      <w:pPr>
        <w:spacing w:after="0" w:line="107" w:lineRule="exact"/>
        <w:rPr>
          <w:rFonts w:ascii="Times New Roman" w:cs="Times New Roman" w:eastAsia="Times New Roman" w:hAnsi="Times New Roman"/>
          <w:sz w:val="18"/>
          <w:szCs w:val="18"/>
          <w:color w:val="auto"/>
        </w:rPr>
      </w:pPr>
    </w:p>
    <w:p>
      <w:pPr>
        <w:ind w:left="680" w:hanging="267"/>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delivered to or withheld by the Company to pay the exercise price or grant price of an Option or SAR;</w:t>
      </w:r>
    </w:p>
    <w:p>
      <w:pPr>
        <w:spacing w:after="0" w:line="17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delivered to or withheld by the Company to satisfy tax withholding obligations with respect to an Option or SAR;</w:t>
      </w:r>
    </w:p>
    <w:p>
      <w:pPr>
        <w:spacing w:after="0" w:line="17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repurchased by the Company on the open market using the proceeds of the exercise of an Option; and</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delivered to or withheld by the Company to satisfy tax withholding obligations with respect to any other Award.</w:t>
      </w:r>
    </w:p>
    <w:p>
      <w:pPr>
        <w:spacing w:after="0" w:line="17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If shares of Common Stock are issued in settlement of a SAR, the number of shares of Common Stock available under the Plan shall be reduced by the number of shares of Common Stock for which the SAR was exercised rather than the number of shares of Common Stock actually issued in settlement of the SAR.</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To the extent permitted by applicable law or the rules of any exchange on which the Common Stock is listed for trading, shares of Common Stock issued in assumption of, or in substitution for, outstanding awards of any entity acquired in any form of combination by the Company or any Affiliate of the Company shall not reduce the number of shares of Common Stock available for issuance under the Plan, and shall not be counted against the Plan’s aggregate share limit.</w:t>
      </w:r>
    </w:p>
    <w:p>
      <w:pPr>
        <w:spacing w:after="0" w:line="12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5.04.</w:t>
      </w:r>
      <w:r>
        <w:rPr>
          <w:sz w:val="20"/>
          <w:szCs w:val="20"/>
          <w:color w:val="auto"/>
        </w:rPr>
        <w:tab/>
      </w:r>
      <w:r>
        <w:rPr>
          <w:rFonts w:ascii="Times New Roman" w:cs="Times New Roman" w:eastAsia="Times New Roman" w:hAnsi="Times New Roman"/>
          <w:sz w:val="18"/>
          <w:szCs w:val="18"/>
          <w:b w:val="1"/>
          <w:bCs w:val="1"/>
          <w:u w:val="single" w:color="auto"/>
          <w:color w:val="auto"/>
        </w:rPr>
        <w:t>Individual Limitations</w:t>
      </w:r>
    </w:p>
    <w:p>
      <w:pPr>
        <w:spacing w:after="0" w:line="9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 provisions to the contrary in the Plan, the aggregate grant date fair value (computed as of the date of grant in accordance with applicable financial accounting rules) of all Awards granted under the Plan to any individual Non-Employee Director during any single calendar year shall not exceed $750,000;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limitation shall be determined without regard to grants of Awards, if any, made under the Plan to a Non-Employee Director during any period in which such individual was an employee or consultant of the Company, the Manager or any of their respective Affiliates (other than in the capacity of a Non-Employee Director).</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applying the limitations of this Section 5.04, an Option and Corresponding SAR shall be treated as a single Award.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927" w:right="339" w:bottom="1440" w:gutter="0" w:footer="0" w:header="0"/>
        </w:sectPr>
      </w:pPr>
    </w:p>
    <w:bookmarkStart w:id="16" w:name="page17"/>
    <w:bookmarkEnd w:id="16"/>
    <w:p>
      <w:pPr>
        <w:ind w:left="530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4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6.01.</w:t>
      </w:r>
      <w:r>
        <w:rPr>
          <w:sz w:val="20"/>
          <w:szCs w:val="20"/>
          <w:color w:val="auto"/>
        </w:rPr>
        <w:tab/>
      </w:r>
      <w:r>
        <w:rPr>
          <w:rFonts w:ascii="Times New Roman" w:cs="Times New Roman" w:eastAsia="Times New Roman" w:hAnsi="Times New Roman"/>
          <w:sz w:val="17"/>
          <w:szCs w:val="17"/>
          <w:b w:val="1"/>
          <w:bCs w:val="1"/>
          <w:u w:val="single" w:color="auto"/>
          <w:color w:val="auto"/>
        </w:rPr>
        <w:t>Award</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 accordance with the provisions of Articles III and IV, the Committee will designate each Participant to whom an Option is to be granted and will specify the number of shares of Common Stock covered by such awards and the terms and conditions of such awards.</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6.02.</w:t>
      </w:r>
      <w:r>
        <w:rPr>
          <w:sz w:val="20"/>
          <w:szCs w:val="20"/>
          <w:color w:val="auto"/>
        </w:rPr>
        <w:tab/>
      </w:r>
      <w:r>
        <w:rPr>
          <w:rFonts w:ascii="Times New Roman" w:cs="Times New Roman" w:eastAsia="Times New Roman" w:hAnsi="Times New Roman"/>
          <w:sz w:val="18"/>
          <w:szCs w:val="18"/>
          <w:b w:val="1"/>
          <w:bCs w:val="1"/>
          <w:u w:val="single" w:color="auto"/>
          <w:color w:val="auto"/>
        </w:rPr>
        <w:t>Option Price</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price per share of Common Stock purchased on the exercise of an Option shall be determined by the Committee on the date of grant, but shall not be less than the Fair Market Value on the date the Option is granted. Notwithstanding the preceding sentence, the price per share of Common Stock purchased on the exercise of any Option that is an incentive stock option granted to an individual who is a Ten Percent Stockholder on the date such Option is granted, shall not be less than one hundred ten percent (110%) of the Fair Market Value on the date the Option is granted. Except as provided in Articles XIII, XIV and XVII, the price per share of Common Stock of an outstanding Option may not be reduced (by amendment, cancellation and new grant or otherwise) without the approval of the Company’s stockholders. In addition, no payment shall be made in cancellation of an Option without the approval of the Company’s stockholders if, on the date of cancellation, the Option price exceeds Fair Market Value.</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6.03.</w:t>
      </w:r>
      <w:r>
        <w:rPr>
          <w:sz w:val="20"/>
          <w:szCs w:val="20"/>
          <w:color w:val="auto"/>
        </w:rPr>
        <w:tab/>
      </w:r>
      <w:r>
        <w:rPr>
          <w:rFonts w:ascii="Times New Roman" w:cs="Times New Roman" w:eastAsia="Times New Roman" w:hAnsi="Times New Roman"/>
          <w:sz w:val="17"/>
          <w:szCs w:val="17"/>
          <w:b w:val="1"/>
          <w:bCs w:val="1"/>
          <w:u w:val="single" w:color="auto"/>
          <w:color w:val="auto"/>
        </w:rPr>
        <w:t>Maximum Option Period</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maximum period in which an Option may be exercised shall be determined by the Committee on the date of grant except that no Option shall be exercisable after the expiration of ten years from the date such Option was granted. In the case of an incentive stock option granted to a Participant who is a Ten Percent Stockholder on the date of grant, such Option shall not be exercisable after the expiration of five years from the date of grant. The terms of any Option may provide that it is exercisable for a period less than such maximum period.</w:t>
      </w:r>
    </w:p>
    <w:p>
      <w:pPr>
        <w:spacing w:after="0" w:line="12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6.04.</w:t>
      </w:r>
      <w:r>
        <w:rPr>
          <w:sz w:val="20"/>
          <w:szCs w:val="20"/>
          <w:color w:val="auto"/>
        </w:rPr>
        <w:tab/>
      </w:r>
      <w:r>
        <w:rPr>
          <w:rFonts w:ascii="Times New Roman" w:cs="Times New Roman" w:eastAsia="Times New Roman" w:hAnsi="Times New Roman"/>
          <w:sz w:val="17"/>
          <w:szCs w:val="17"/>
          <w:b w:val="1"/>
          <w:bCs w:val="1"/>
          <w:u w:val="single" w:color="auto"/>
          <w:color w:val="auto"/>
        </w:rPr>
        <w:t>Transferability</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Any rights or restrictions with respect to the ability of the holder of any Option granted under the Plan to transfer such Option shall be set forth in the Agreement relating to such grant;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an Option may be transferred by will or the laws of descent and distribution and (b) an Option that is an incentive stock option may be transferred only by will or laws of descent and distribution. Notwithstanding the foregoing, no Option may be transferred without the written consent of the Committee.</w:t>
      </w:r>
    </w:p>
    <w:p>
      <w:pPr>
        <w:spacing w:after="0" w:line="12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6.05.</w:t>
      </w:r>
      <w:r>
        <w:rPr>
          <w:sz w:val="20"/>
          <w:szCs w:val="20"/>
          <w:color w:val="auto"/>
        </w:rPr>
        <w:tab/>
      </w:r>
      <w:r>
        <w:rPr>
          <w:rFonts w:ascii="Times New Roman" w:cs="Times New Roman" w:eastAsia="Times New Roman" w:hAnsi="Times New Roman"/>
          <w:sz w:val="18"/>
          <w:szCs w:val="18"/>
          <w:b w:val="1"/>
          <w:bCs w:val="1"/>
          <w:u w:val="single" w:color="auto"/>
          <w:color w:val="auto"/>
        </w:rPr>
        <w:t>Employee Status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Incentive stock options may only be granted to employees of the Company or of a “parent corporation” or “subsidiary corporation” (as such terms are defined in Section 424 of the Code) of the Company. For purposes of determining the applicability of Section 422 of the Code (relating to incentive stock options), or in the event that the terms of any Option provide that it may be exercised only during employment or continued service or within a specified period of time after termination of employment or continued service, the Committee may decide to what extent leaves of absence for governmental or military service, illness, temporary disability, or other reasons shall not be deemed interruptions of continuous employment or service.</w:t>
      </w:r>
    </w:p>
    <w:p>
      <w:pPr>
        <w:spacing w:after="0" w:line="1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6.06.</w:t>
      </w:r>
      <w:r>
        <w:rPr>
          <w:sz w:val="20"/>
          <w:szCs w:val="20"/>
          <w:color w:val="auto"/>
        </w:rPr>
        <w:tab/>
      </w:r>
      <w:r>
        <w:rPr>
          <w:rFonts w:ascii="Times New Roman" w:cs="Times New Roman" w:eastAsia="Times New Roman" w:hAnsi="Times New Roman"/>
          <w:sz w:val="18"/>
          <w:szCs w:val="18"/>
          <w:b w:val="1"/>
          <w:bCs w:val="1"/>
          <w:u w:val="single" w:color="auto"/>
          <w:color w:val="auto"/>
        </w:rPr>
        <w:t>Exercise</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Subject to the provisions of the Plan and the applicable Agreement, an Option may be exercised in whole at any time or in part from time to time at such times and in compliance with such requirements as the Committee shall determine;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to the extent that the aggregate Fair Market Value (determined as of the date an Option is granted) of the stock with respect to which incentive stock options (granted under the Plan and all plans of the Company and its “parent corporations” and “subsidiary corporations” (as such terms are defined in Section 424 of the Code)) are exercisable for the first time by an individual during any calendar year exceeds $100,000, such Options shall be treated as Options that do not qualify as incentive stock options. An Option granted under the Plan may be exercised with respect to any number of whole shares of Common Stock less than the full number for which the Option could be exercised. A partial exercise of an Option shall not affect the right to exercise the Option from time to time in accordance with the Plan and the applicable Agreement with respect to the remaining shares of Common Stock subject to the Option. The exercise of an Option shall result in the termination of any Corresponding SAR to the extent of the number of shares of Common Stock with respect to which the Option is exercised.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927" w:right="339" w:bottom="1440" w:gutter="0" w:footer="0" w:header="0"/>
        </w:sectPr>
      </w:pPr>
    </w:p>
    <w:bookmarkStart w:id="17" w:name="page18"/>
    <w:bookmarkEnd w:id="17"/>
    <w:p>
      <w:pPr>
        <w:spacing w:after="0"/>
        <w:tabs>
          <w:tab w:leader="none" w:pos="520" w:val="left"/>
        </w:tabs>
        <w:rPr>
          <w:sz w:val="20"/>
          <w:szCs w:val="20"/>
          <w:color w:val="auto"/>
        </w:rPr>
      </w:pPr>
      <w:r>
        <w:rPr>
          <w:rFonts w:ascii="Times New Roman" w:cs="Times New Roman" w:eastAsia="Times New Roman" w:hAnsi="Times New Roman"/>
          <w:sz w:val="18"/>
          <w:szCs w:val="18"/>
          <w:color w:val="auto"/>
        </w:rPr>
        <w:t>6.07.</w:t>
      </w:r>
      <w:r>
        <w:rPr>
          <w:sz w:val="20"/>
          <w:szCs w:val="20"/>
          <w:color w:val="auto"/>
        </w:rPr>
        <w:tab/>
      </w:r>
      <w:r>
        <w:rPr>
          <w:rFonts w:ascii="Times New Roman" w:cs="Times New Roman" w:eastAsia="Times New Roman" w:hAnsi="Times New Roman"/>
          <w:sz w:val="18"/>
          <w:szCs w:val="18"/>
          <w:b w:val="1"/>
          <w:bCs w:val="1"/>
          <w:u w:val="single" w:color="auto"/>
          <w:color w:val="auto"/>
        </w:rPr>
        <w:t>Payment</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Subject to rules established by the Committee and unless otherwise provided in an Agreement, payment of all or part of the Option price may be made in cash, certified check, by tendering Common Stock, by attestation of ownership of Common Stock, by a broker-assisted cashless exercise or in such other form or manner acceptable to the Committee. If Common Stock is used to pay all or part of the Option price, the sum of the cash and cash equivalent and the Fair Market Value (determined on the date of exercise) of the Common Stock so surrendered or other consideration paid must not be less than the Option price of the shares for which the Option is being exercised.</w:t>
      </w:r>
    </w:p>
    <w:p>
      <w:pPr>
        <w:spacing w:after="0" w:line="1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6.08.</w:t>
      </w:r>
      <w:r>
        <w:rPr>
          <w:sz w:val="20"/>
          <w:szCs w:val="20"/>
          <w:color w:val="auto"/>
        </w:rPr>
        <w:tab/>
      </w:r>
      <w:r>
        <w:rPr>
          <w:rFonts w:ascii="Times New Roman" w:cs="Times New Roman" w:eastAsia="Times New Roman" w:hAnsi="Times New Roman"/>
          <w:sz w:val="18"/>
          <w:szCs w:val="18"/>
          <w:b w:val="1"/>
          <w:bCs w:val="1"/>
          <w:u w:val="single" w:color="auto"/>
          <w:color w:val="auto"/>
        </w:rPr>
        <w:t>Stockholder Rights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 Participant shall have any rights as a stockholder with respect to Common Stock subject to an Option until the date of exercise of such Option.</w:t>
      </w:r>
    </w:p>
    <w:p>
      <w:pPr>
        <w:spacing w:after="0" w:line="1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6.09.</w:t>
      </w:r>
      <w:r>
        <w:rPr>
          <w:sz w:val="20"/>
          <w:szCs w:val="20"/>
          <w:color w:val="auto"/>
        </w:rPr>
        <w:tab/>
      </w:r>
      <w:r>
        <w:rPr>
          <w:rFonts w:ascii="Times New Roman" w:cs="Times New Roman" w:eastAsia="Times New Roman" w:hAnsi="Times New Roman"/>
          <w:sz w:val="17"/>
          <w:szCs w:val="17"/>
          <w:b w:val="1"/>
          <w:bCs w:val="1"/>
          <w:u w:val="single" w:color="auto"/>
          <w:color w:val="auto"/>
        </w:rPr>
        <w:t>Disposition of Shares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 Participant shall notify the Company of any sale or other disposition of shares of Common Stock acquired pursuant to an Option that was an incentive stock option if such sale or disposition occurs (i) within two years of the grant of such Option or (ii) within one year of the issuance of such Common Stock to the Participant. Such notice shall be in writing and directed to the Secretary of the Company.</w:t>
      </w:r>
    </w:p>
    <w:p>
      <w:pPr>
        <w:spacing w:after="0" w:line="11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SARS</w:t>
      </w:r>
    </w:p>
    <w:p>
      <w:pPr>
        <w:spacing w:after="0" w:line="14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7.01.</w:t>
      </w:r>
      <w:r>
        <w:rPr>
          <w:sz w:val="20"/>
          <w:szCs w:val="20"/>
          <w:color w:val="auto"/>
        </w:rPr>
        <w:tab/>
      </w:r>
      <w:r>
        <w:rPr>
          <w:rFonts w:ascii="Times New Roman" w:cs="Times New Roman" w:eastAsia="Times New Roman" w:hAnsi="Times New Roman"/>
          <w:sz w:val="17"/>
          <w:szCs w:val="17"/>
          <w:b w:val="1"/>
          <w:bCs w:val="1"/>
          <w:u w:val="single" w:color="auto"/>
          <w:color w:val="auto"/>
        </w:rPr>
        <w:t>Award</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accordance with the provisions of Articles III and IV, the Committee will designate each Participant to whom SARs are to be granted and will specify the number of shares of Common Stock covered by such awards and the terms and conditions of such awards.</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7.02.</w:t>
      </w:r>
      <w:r>
        <w:rPr>
          <w:sz w:val="20"/>
          <w:szCs w:val="20"/>
          <w:color w:val="auto"/>
        </w:rPr>
        <w:tab/>
      </w:r>
      <w:r>
        <w:rPr>
          <w:rFonts w:ascii="Times New Roman" w:cs="Times New Roman" w:eastAsia="Times New Roman" w:hAnsi="Times New Roman"/>
          <w:sz w:val="17"/>
          <w:szCs w:val="17"/>
          <w:b w:val="1"/>
          <w:bCs w:val="1"/>
          <w:u w:val="single" w:color="auto"/>
          <w:color w:val="auto"/>
        </w:rPr>
        <w:t>Maximum SAR Period</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term of each SAR shall be determined by the Committee on the date of grant, except that no SAR shall have a term of more than ten years from the date of grant. In the case of a Corresponding SAR that is related to an incentive stock option granted to a Participant who is a Ten Percent Stockholder on the date of grant, such Corresponding SAR shall not be exercisable after the expiration of five years from the date of grant. The terms of any SAR may provide that it has a term that is less than such maximum period.</w:t>
      </w:r>
    </w:p>
    <w:p>
      <w:pPr>
        <w:spacing w:after="0" w:line="12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7.03.</w:t>
      </w:r>
      <w:r>
        <w:rPr>
          <w:sz w:val="20"/>
          <w:szCs w:val="20"/>
          <w:color w:val="auto"/>
        </w:rPr>
        <w:tab/>
      </w:r>
      <w:r>
        <w:rPr>
          <w:rFonts w:ascii="Times New Roman" w:cs="Times New Roman" w:eastAsia="Times New Roman" w:hAnsi="Times New Roman"/>
          <w:sz w:val="17"/>
          <w:szCs w:val="17"/>
          <w:b w:val="1"/>
          <w:bCs w:val="1"/>
          <w:u w:val="single" w:color="auto"/>
          <w:color w:val="auto"/>
        </w:rPr>
        <w:t>Transferability</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Any rights or restrictions with respect to the ability of the holder of any SAR granted under the Plan to transfer such SAR shall be set forth in the Agreement relating to such grant;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a SAR may be transferred by will or the laws of descent and distribution and (b) a Corresponding SAR that relates to an incentive stock option may be transferred only by will or the laws of descent and distribution. Notwithstanding the foregoing, no Option may be transferred without written consent of the Committee</w:t>
      </w:r>
    </w:p>
    <w:p>
      <w:pPr>
        <w:spacing w:after="0" w:line="12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7.04.</w:t>
      </w:r>
      <w:r>
        <w:rPr>
          <w:sz w:val="20"/>
          <w:szCs w:val="20"/>
          <w:color w:val="auto"/>
        </w:rPr>
        <w:tab/>
      </w:r>
      <w:r>
        <w:rPr>
          <w:rFonts w:ascii="Times New Roman" w:cs="Times New Roman" w:eastAsia="Times New Roman" w:hAnsi="Times New Roman"/>
          <w:sz w:val="18"/>
          <w:szCs w:val="18"/>
          <w:b w:val="1"/>
          <w:bCs w:val="1"/>
          <w:u w:val="single" w:color="auto"/>
          <w:color w:val="auto"/>
        </w:rPr>
        <w:t>Exercise</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Subject to the provisions of the Plan and the applicable Agreement, a SAR may be exercised in whole at any time or in part from time to time at such times and in compliance with such requirements as the Committee shall determine;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Corresponding SAR that is related to an incentive stock option may be exercised only to the extent that the related Option is exercisable and only when the Fair Market Value exceeds the Option price of the related Option. A SAR granted under the Plan may be exercised with respect to any number of whole shares less than the full number for which the SAR could be exercised. A partial exercise of a SAR shall not affect the right to exercise the SAR from time to time in accordance with the Plan and the applicable Agreement with respect to the remaining shares of Common Stock subject to the SAR. The exercise of a Corresponding SAR shall result in the termination of the related Option to the extent of the number of shares of Common Stock with respect to which the SAR is exercised.</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7.05.</w:t>
      </w:r>
      <w:r>
        <w:rPr>
          <w:sz w:val="20"/>
          <w:szCs w:val="20"/>
          <w:color w:val="auto"/>
        </w:rPr>
        <w:tab/>
      </w:r>
      <w:r>
        <w:rPr>
          <w:rFonts w:ascii="Times New Roman" w:cs="Times New Roman" w:eastAsia="Times New Roman" w:hAnsi="Times New Roman"/>
          <w:sz w:val="18"/>
          <w:szCs w:val="18"/>
          <w:b w:val="1"/>
          <w:bCs w:val="1"/>
          <w:u w:val="single" w:color="auto"/>
          <w:color w:val="auto"/>
        </w:rPr>
        <w:t>Employee Status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If the terms of any SAR provide that it may be exercised only during employment or continued service or within a specified period of time after termination of employment or continued service, the Committee may decide to what extent leaves of absence for governmental or military service, illness, temporary disability or other reasons shall not be deemed interruptions of continuous employment or service.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927" w:right="339" w:bottom="1440" w:gutter="0" w:footer="0" w:header="0"/>
        </w:sectPr>
      </w:pPr>
    </w:p>
    <w:bookmarkStart w:id="18" w:name="page19"/>
    <w:bookmarkEnd w:id="18"/>
    <w:p>
      <w:pPr>
        <w:spacing w:after="0"/>
        <w:tabs>
          <w:tab w:leader="none" w:pos="520" w:val="left"/>
        </w:tabs>
        <w:rPr>
          <w:sz w:val="20"/>
          <w:szCs w:val="20"/>
          <w:color w:val="auto"/>
        </w:rPr>
      </w:pPr>
      <w:r>
        <w:rPr>
          <w:rFonts w:ascii="Times New Roman" w:cs="Times New Roman" w:eastAsia="Times New Roman" w:hAnsi="Times New Roman"/>
          <w:sz w:val="18"/>
          <w:szCs w:val="18"/>
          <w:color w:val="auto"/>
        </w:rPr>
        <w:t>7.06.</w:t>
      </w:r>
      <w:r>
        <w:rPr>
          <w:sz w:val="20"/>
          <w:szCs w:val="20"/>
          <w:color w:val="auto"/>
        </w:rPr>
        <w:tab/>
      </w:r>
      <w:r>
        <w:rPr>
          <w:rFonts w:ascii="Times New Roman" w:cs="Times New Roman" w:eastAsia="Times New Roman" w:hAnsi="Times New Roman"/>
          <w:sz w:val="18"/>
          <w:szCs w:val="18"/>
          <w:b w:val="1"/>
          <w:bCs w:val="1"/>
          <w:u w:val="single" w:color="auto"/>
          <w:color w:val="auto"/>
        </w:rPr>
        <w:t>Settlement</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At the Committee’s discretion, the amount payable as a result of the exercise of a SAR may be settled in cash, Common Stock, or a combination of cash and Common Stock.</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7.07.</w:t>
      </w:r>
      <w:r>
        <w:rPr>
          <w:sz w:val="20"/>
          <w:szCs w:val="20"/>
          <w:color w:val="auto"/>
        </w:rPr>
        <w:tab/>
      </w:r>
      <w:r>
        <w:rPr>
          <w:rFonts w:ascii="Times New Roman" w:cs="Times New Roman" w:eastAsia="Times New Roman" w:hAnsi="Times New Roman"/>
          <w:sz w:val="18"/>
          <w:szCs w:val="18"/>
          <w:b w:val="1"/>
          <w:bCs w:val="1"/>
          <w:u w:val="single" w:color="auto"/>
          <w:color w:val="auto"/>
        </w:rPr>
        <w:t>Stockholder Rights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No Participant shall have any rights as a stockholder with respect to Common Stock subject to a SAR until the date that the SAR is exercised and then only to the extent that the SAR is settled by the issuance of Common Stock.</w:t>
      </w:r>
    </w:p>
    <w:p>
      <w:pPr>
        <w:spacing w:after="0" w:line="10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STOCK AWARDS</w:t>
      </w:r>
    </w:p>
    <w:p>
      <w:pPr>
        <w:spacing w:after="0" w:line="14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8.01.</w:t>
      </w:r>
      <w:r>
        <w:rPr>
          <w:sz w:val="20"/>
          <w:szCs w:val="20"/>
          <w:color w:val="auto"/>
        </w:rPr>
        <w:tab/>
      </w:r>
      <w:r>
        <w:rPr>
          <w:rFonts w:ascii="Times New Roman" w:cs="Times New Roman" w:eastAsia="Times New Roman" w:hAnsi="Times New Roman"/>
          <w:sz w:val="17"/>
          <w:szCs w:val="17"/>
          <w:b w:val="1"/>
          <w:bCs w:val="1"/>
          <w:u w:val="single" w:color="auto"/>
          <w:color w:val="auto"/>
        </w:rPr>
        <w:t>Award</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accordance with the provisions of Articles III and IV, the Committee will designate each Participant to whom a Stock Award (either in the form of Restricted Stock or unrestricted Common Stock) is to be made and will specify the number of shares of Restricted Stock or Common Stock covered by such Stock Award and the terms and conditions of such Stock Award.</w:t>
      </w:r>
    </w:p>
    <w:p>
      <w:pPr>
        <w:spacing w:after="0" w:line="11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8.02.</w:t>
      </w:r>
      <w:r>
        <w:rPr>
          <w:sz w:val="20"/>
          <w:szCs w:val="20"/>
          <w:color w:val="auto"/>
        </w:rPr>
        <w:tab/>
      </w:r>
      <w:r>
        <w:rPr>
          <w:rFonts w:ascii="Times New Roman" w:cs="Times New Roman" w:eastAsia="Times New Roman" w:hAnsi="Times New Roman"/>
          <w:sz w:val="18"/>
          <w:szCs w:val="18"/>
          <w:b w:val="1"/>
          <w:bCs w:val="1"/>
          <w:u w:val="single" w:color="auto"/>
          <w:color w:val="auto"/>
        </w:rPr>
        <w:t>Vesting</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Committee, on the date of the Stock Award, may prescribe that a Participant’s rights in a Stock Award shall be forfeitable or otherwise restricted for a period of time or subject to such conditions as may be set forth in the applicable Agreement. By way of example and not of limitation, the Committee may prescribe that a Participant’s rights in a Stock Award shall be forfeitable or otherwise restricted subject to continued employment or service, the attainment of performance objectives, including objectives stated with reference to one or more Performance Goals, or both.</w:t>
      </w:r>
    </w:p>
    <w:p>
      <w:pPr>
        <w:spacing w:after="0" w:line="12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8.03.</w:t>
      </w:r>
      <w:r>
        <w:rPr>
          <w:sz w:val="20"/>
          <w:szCs w:val="20"/>
          <w:color w:val="auto"/>
        </w:rPr>
        <w:tab/>
      </w:r>
      <w:r>
        <w:rPr>
          <w:rFonts w:ascii="Times New Roman" w:cs="Times New Roman" w:eastAsia="Times New Roman" w:hAnsi="Times New Roman"/>
          <w:sz w:val="18"/>
          <w:szCs w:val="18"/>
          <w:b w:val="1"/>
          <w:bCs w:val="1"/>
          <w:u w:val="single" w:color="auto"/>
          <w:color w:val="auto"/>
        </w:rPr>
        <w:t>Employee Status</w:t>
      </w:r>
    </w:p>
    <w:p>
      <w:pPr>
        <w:spacing w:after="0" w:line="175"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In the event that the terms of any Stock Award provide that shares may become transferable and non-forfeitable thereunder only after completion of a specified period of employment or continuous service, the Committee may decide in each case to what extent leaves of absence for governmental or military service, illness, temporary disability, or other reasons shall not be deemed interruptions of continuous employment or service.</w:t>
      </w:r>
    </w:p>
    <w:p>
      <w:pPr>
        <w:spacing w:after="0" w:line="11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8.04.</w:t>
      </w:r>
      <w:r>
        <w:rPr>
          <w:sz w:val="20"/>
          <w:szCs w:val="20"/>
          <w:color w:val="auto"/>
        </w:rPr>
        <w:tab/>
      </w:r>
      <w:r>
        <w:rPr>
          <w:rFonts w:ascii="Times New Roman" w:cs="Times New Roman" w:eastAsia="Times New Roman" w:hAnsi="Times New Roman"/>
          <w:sz w:val="18"/>
          <w:szCs w:val="18"/>
          <w:b w:val="1"/>
          <w:bCs w:val="1"/>
          <w:u w:val="single" w:color="auto"/>
          <w:color w:val="auto"/>
        </w:rPr>
        <w:t>Stockholder Rights</w:t>
      </w:r>
    </w:p>
    <w:p>
      <w:pPr>
        <w:spacing w:after="0" w:line="175"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 xml:space="preserve">Unless otherwise specified in accordance with the applicable Agreement, while the shares of Restricted Stock granted pursuant to the Stock Award may be forfeited or are non-transferable, a Participant will have all rights of a stockholder with respect to a Stock Award, including the right to receive dividends (in respect of which the Committee may allow a Participant to elect, or may require, that any cash dividends paid on a share of Restricted Stock be automatically reinvested in additional shares of Restricted Stock, applied to the purchase of additional Awards under the Plan or deferred without interest to the date of vesting of the associated Award of Restricted Stock, provided that any such election is intended to comply with Section 409A of the Code) and vote the Common Stock;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unless otherwise specified in accordance with the applicable Agreement, dividends payable on shares of Restricted Stock subject to a Stock Award that does not become non-forfeitable solely on the basis of continued employment or service shall be accumulated and paid, without interest, when and to the extent that the underlying Stock Award becomes non-forfeitable;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during the period that the Stock Award may be forfeited or is non-transferable (i) a Participant may not sell, transfer, pledge, exchange, hypothecate, or otherwise dispose of shares of Restricted Stock granted pursuant to a Stock Award, (ii) the Committee may postpone the distribution of dividends until and to the extent that the Stock Award becomes transferable and non-forfeitable, (iii) the Company shall retain custody of any certificates representing shares of Restricted Stock granted pursuant to a Stock Award, and (iv) the Participant will deliver to the Company a stock power, endorsed in blank, with respect to each Stock Award. The limitations set forth in the preceding sentence shall not apply after the shares of Restricted Stock granted under the Stock Award are transferable and are no longer forfeitable.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927" w:right="339" w:bottom="1440" w:gutter="0" w:footer="0" w:header="0"/>
        </w:sectPr>
      </w:pPr>
    </w:p>
    <w:bookmarkStart w:id="19" w:name="page20"/>
    <w:bookmarkEnd w:id="19"/>
    <w:p>
      <w:pPr>
        <w:spacing w:after="0"/>
        <w:tabs>
          <w:tab w:leader="none" w:pos="520" w:val="left"/>
        </w:tabs>
        <w:rPr>
          <w:sz w:val="20"/>
          <w:szCs w:val="20"/>
          <w:color w:val="auto"/>
        </w:rPr>
      </w:pPr>
      <w:r>
        <w:rPr>
          <w:rFonts w:ascii="Times New Roman" w:cs="Times New Roman" w:eastAsia="Times New Roman" w:hAnsi="Times New Roman"/>
          <w:sz w:val="18"/>
          <w:szCs w:val="18"/>
          <w:color w:val="auto"/>
        </w:rPr>
        <w:t>8.05.</w:t>
      </w:r>
      <w:r>
        <w:rPr>
          <w:sz w:val="20"/>
          <w:szCs w:val="20"/>
          <w:color w:val="auto"/>
        </w:rPr>
        <w:tab/>
      </w:r>
      <w:r>
        <w:rPr>
          <w:rFonts w:ascii="Times New Roman" w:cs="Times New Roman" w:eastAsia="Times New Roman" w:hAnsi="Times New Roman"/>
          <w:sz w:val="17"/>
          <w:szCs w:val="17"/>
          <w:b w:val="1"/>
          <w:bCs w:val="1"/>
          <w:u w:val="single" w:color="auto"/>
          <w:color w:val="auto"/>
        </w:rPr>
        <w:t>Minimum Vesting Period</w:t>
      </w:r>
    </w:p>
    <w:p>
      <w:pPr>
        <w:spacing w:after="0" w:line="175"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the Plan to the contrary, no Award granted under the Plan shall vest or become exercisable earlier than the first anniversary of the date of grant of such Award; provided, however, that the foregoing minimum vesting requirement shall not apply to:</w:t>
      </w:r>
    </w:p>
    <w:p>
      <w:pPr>
        <w:spacing w:after="0" w:line="108" w:lineRule="exact"/>
        <w:rPr>
          <w:sz w:val="20"/>
          <w:szCs w:val="20"/>
          <w:color w:val="auto"/>
        </w:rPr>
      </w:pPr>
    </w:p>
    <w:p>
      <w:pPr>
        <w:ind w:firstLine="413"/>
        <w:spacing w:after="0" w:line="282"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granted in substitution for or conversion of awards previously granted by an entity acquired by the Company or with which the Company combines, as described in Article XIII;</w:t>
      </w:r>
    </w:p>
    <w:p>
      <w:pPr>
        <w:spacing w:after="0" w:line="107" w:lineRule="exact"/>
        <w:rPr>
          <w:rFonts w:ascii="Times New Roman" w:cs="Times New Roman" w:eastAsia="Times New Roman" w:hAnsi="Times New Roman"/>
          <w:sz w:val="18"/>
          <w:szCs w:val="18"/>
          <w:color w:val="auto"/>
        </w:rPr>
      </w:pPr>
    </w:p>
    <w:p>
      <w:pPr>
        <w:ind w:firstLine="413"/>
        <w:spacing w:after="0" w:line="282" w:lineRule="auto"/>
        <w:tabs>
          <w:tab w:leader="none" w:pos="69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to Non-Employee Directors that vest on the earlier of the one-year anniversary of the date of grant or the next annual meeting of stockholders following the date of grant, so long as such period is not less than fifty (50) weeks from the date of grant;</w:t>
      </w:r>
    </w:p>
    <w:p>
      <w:pPr>
        <w:spacing w:after="0" w:line="10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vesting upon a Participant's death or Disability;</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vesting upon or following a Change in Control or a Qualifying Termination as permitted under Article XVII; and</w:t>
      </w:r>
    </w:p>
    <w:p>
      <w:pPr>
        <w:spacing w:after="0" w:line="171" w:lineRule="exact"/>
        <w:rPr>
          <w:rFonts w:ascii="Times New Roman" w:cs="Times New Roman" w:eastAsia="Times New Roman" w:hAnsi="Times New Roman"/>
          <w:sz w:val="18"/>
          <w:szCs w:val="18"/>
          <w:color w:val="auto"/>
        </w:rPr>
      </w:pPr>
    </w:p>
    <w:p>
      <w:pPr>
        <w:ind w:right="460" w:firstLine="413"/>
        <w:spacing w:after="0" w:line="282" w:lineRule="auto"/>
        <w:tabs>
          <w:tab w:leader="none" w:pos="65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with respect to a number of shares of Common Stock that, in the aggregate, does not exceed five percent (5%) of the total number of shares of Common Stock available for issuance under the Plan pursuant to Section 5.02.</w:t>
      </w:r>
    </w:p>
    <w:p>
      <w:pPr>
        <w:spacing w:after="0" w:line="10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4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9.01.</w:t>
      </w:r>
      <w:r>
        <w:rPr>
          <w:sz w:val="20"/>
          <w:szCs w:val="20"/>
          <w:color w:val="auto"/>
        </w:rPr>
        <w:tab/>
      </w:r>
      <w:r>
        <w:rPr>
          <w:rFonts w:ascii="Times New Roman" w:cs="Times New Roman" w:eastAsia="Times New Roman" w:hAnsi="Times New Roman"/>
          <w:sz w:val="17"/>
          <w:szCs w:val="17"/>
          <w:b w:val="1"/>
          <w:bCs w:val="1"/>
          <w:u w:val="single" w:color="auto"/>
          <w:color w:val="auto"/>
        </w:rPr>
        <w:t>Award</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accordance with the provisions of Articles III and IV, the Committee will designate each Participant to whom an award of Restricted Stock Units is to be made and specify the number of Restricted Stock Units covered by such awards and the terms and conditions of such awards. The Committee also will specify whether Dividend Equivalent Rights are granted in conjunction with the award of Restricted Stock Units.</w:t>
      </w:r>
    </w:p>
    <w:p>
      <w:pPr>
        <w:spacing w:after="0" w:line="11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9.02.</w:t>
      </w:r>
      <w:r>
        <w:rPr>
          <w:sz w:val="20"/>
          <w:szCs w:val="20"/>
          <w:color w:val="auto"/>
        </w:rPr>
        <w:tab/>
      </w:r>
      <w:r>
        <w:rPr>
          <w:rFonts w:ascii="Times New Roman" w:cs="Times New Roman" w:eastAsia="Times New Roman" w:hAnsi="Times New Roman"/>
          <w:sz w:val="17"/>
          <w:szCs w:val="17"/>
          <w:b w:val="1"/>
          <w:bCs w:val="1"/>
          <w:u w:val="single" w:color="auto"/>
          <w:color w:val="auto"/>
        </w:rPr>
        <w:t>Terms and Conditions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Committee, at the time an award of Restricted Stock Units is made, shall specify the terms and conditions which govern the award. The terms and conditions of an award of Restricted Stock Units may prescribe that a Participant’s rights in the Restricted Stock Units shall be forfeitable, non-transferable or otherwise restricted for a period of time, which may lapse at the expiration of the deferral period or at earlier specified times, or may be subject to such other conditions as may be determined by the Committee, in its discretion and set forth in the applicable Agreement. By way of example and not of limitation, the Committee may prescribe that a Participant’s rights in an award of Restricted Stock Units shall be forfeitable or otherwise restricted subject to continued employment or service, the attainment of performance objectives, including objectives stated with respect to one or more Performance Goals, or both. An award of Restricted Stock Units may be granted to Participants, either alone or in addition to other Awards granted under the Plan, and an award of Restricted Stock Units may be granted in the settlement of other Awards granted under the Plan.</w:t>
      </w:r>
    </w:p>
    <w:p>
      <w:pPr>
        <w:spacing w:after="0" w:line="13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9.03.</w:t>
      </w:r>
      <w:r>
        <w:rPr>
          <w:sz w:val="20"/>
          <w:szCs w:val="20"/>
          <w:color w:val="auto"/>
        </w:rPr>
        <w:tab/>
      </w:r>
      <w:r>
        <w:rPr>
          <w:rFonts w:ascii="Times New Roman" w:cs="Times New Roman" w:eastAsia="Times New Roman" w:hAnsi="Times New Roman"/>
          <w:sz w:val="17"/>
          <w:szCs w:val="17"/>
          <w:b w:val="1"/>
          <w:bCs w:val="1"/>
          <w:u w:val="single" w:color="auto"/>
          <w:color w:val="auto"/>
        </w:rPr>
        <w:t>Payment or Settlement</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Settlement of an award of Restricted Stock Units shall occur upon expiration of the deferral period specified for each Restricted Stock Unit by the Committee (or, if permitted by the Committee, as elected by the Participant). Restricted Stock Units shall be satisfied by the delivery of (a) a number of shares of Common Stock equal to the number of Restricted Stock Units vesting on such date or (b) an amount in cash equal to the Fair Market Value of a specified number of shares of Common Stock covered by the vesting Restricted Stock Units, or a combination thereof, as determined by the Committee at the date of grant or thereafter.</w:t>
      </w:r>
    </w:p>
    <w:p>
      <w:pPr>
        <w:spacing w:after="0" w:line="1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9.04.</w:t>
      </w:r>
      <w:r>
        <w:rPr>
          <w:sz w:val="20"/>
          <w:szCs w:val="20"/>
          <w:color w:val="auto"/>
        </w:rPr>
        <w:tab/>
      </w:r>
      <w:r>
        <w:rPr>
          <w:rFonts w:ascii="Times New Roman" w:cs="Times New Roman" w:eastAsia="Times New Roman" w:hAnsi="Times New Roman"/>
          <w:sz w:val="18"/>
          <w:szCs w:val="18"/>
          <w:b w:val="1"/>
          <w:bCs w:val="1"/>
          <w:u w:val="single" w:color="auto"/>
          <w:color w:val="auto"/>
        </w:rPr>
        <w:t>Employee Status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If the terms of any award of Restricted Stock Units provide that it may be earned or exercised only during employment or continued service or within a specified period of time after termination of employment or continued service, the Committee may decide to what extent leaves of absence for governmental or military service, illness, temporary disability or other reasons shall not be deemed interruptions of continuous employment or service.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927" w:right="339" w:bottom="1440" w:gutter="0" w:footer="0" w:header="0"/>
        </w:sectPr>
      </w:pPr>
    </w:p>
    <w:bookmarkStart w:id="20" w:name="page21"/>
    <w:bookmarkEnd w:id="20"/>
    <w:p>
      <w:pPr>
        <w:spacing w:after="0"/>
        <w:tabs>
          <w:tab w:leader="none" w:pos="520" w:val="left"/>
        </w:tabs>
        <w:rPr>
          <w:sz w:val="20"/>
          <w:szCs w:val="20"/>
          <w:color w:val="auto"/>
        </w:rPr>
      </w:pPr>
      <w:r>
        <w:rPr>
          <w:rFonts w:ascii="Times New Roman" w:cs="Times New Roman" w:eastAsia="Times New Roman" w:hAnsi="Times New Roman"/>
          <w:sz w:val="18"/>
          <w:szCs w:val="18"/>
          <w:color w:val="auto"/>
        </w:rPr>
        <w:t>9.05.</w:t>
      </w:r>
      <w:r>
        <w:rPr>
          <w:sz w:val="20"/>
          <w:szCs w:val="20"/>
          <w:color w:val="auto"/>
        </w:rPr>
        <w:tab/>
      </w:r>
      <w:r>
        <w:rPr>
          <w:rFonts w:ascii="Times New Roman" w:cs="Times New Roman" w:eastAsia="Times New Roman" w:hAnsi="Times New Roman"/>
          <w:sz w:val="18"/>
          <w:szCs w:val="18"/>
          <w:b w:val="1"/>
          <w:bCs w:val="1"/>
          <w:u w:val="single" w:color="auto"/>
          <w:color w:val="auto"/>
        </w:rPr>
        <w:t>Stockholder Rights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 Participant, as a result of receiving an award of Restricted Stock Units, shall not have any rights as a stockholder until, and then only to the extent that, the award of Restricted Stock Units is earned and settled in Common Stock (to the extent applicable).</w:t>
      </w:r>
    </w:p>
    <w:p>
      <w:pPr>
        <w:spacing w:after="0" w:line="10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0"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PERFORMANCE AWARDS</w:t>
      </w:r>
    </w:p>
    <w:p>
      <w:pPr>
        <w:spacing w:after="0" w:line="14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10.01.</w:t>
      </w:r>
      <w:r>
        <w:rPr>
          <w:sz w:val="20"/>
          <w:szCs w:val="20"/>
          <w:color w:val="auto"/>
        </w:rPr>
        <w:tab/>
      </w:r>
      <w:r>
        <w:rPr>
          <w:rFonts w:ascii="Times New Roman" w:cs="Times New Roman" w:eastAsia="Times New Roman" w:hAnsi="Times New Roman"/>
          <w:sz w:val="17"/>
          <w:szCs w:val="17"/>
          <w:b w:val="1"/>
          <w:bCs w:val="1"/>
          <w:u w:val="single" w:color="auto"/>
          <w:color w:val="auto"/>
        </w:rPr>
        <w:t>Award</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accordance with the provisions of Articles III and IV, the Committee will designate each Participant to whom a Performance Award is to be made and specify the number of shares of Common Stock or other securities or property covered by such awards and the terms and conditions of such awards. The Committee also will specify whether Dividend Equivalent Rights are granted in conjunction with the Performance Award.</w:t>
      </w:r>
    </w:p>
    <w:p>
      <w:pPr>
        <w:spacing w:after="0" w:line="11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10.02.</w:t>
      </w:r>
      <w:r>
        <w:rPr>
          <w:sz w:val="20"/>
          <w:szCs w:val="20"/>
          <w:color w:val="auto"/>
        </w:rPr>
        <w:tab/>
      </w:r>
      <w:r>
        <w:rPr>
          <w:rFonts w:ascii="Times New Roman" w:cs="Times New Roman" w:eastAsia="Times New Roman" w:hAnsi="Times New Roman"/>
          <w:sz w:val="17"/>
          <w:szCs w:val="17"/>
          <w:b w:val="1"/>
          <w:bCs w:val="1"/>
          <w:u w:val="single" w:color="auto"/>
          <w:color w:val="auto"/>
        </w:rPr>
        <w:t>Earning the Award</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Committee, on the date of the grant of a Performance Award, shall prescribe that the Performance Award will be earned, and the Participant will be entitled to receive payment pursuant to the Performance Award, subject to continued employment or service and/or the satisfaction of performance objectives, including objectives stated with respect to one or more Performance Goals. The performance period applicable to any Performance Award shall be set by the Committee in its discretion but shall not exceed ten years.</w:t>
      </w:r>
    </w:p>
    <w:p>
      <w:pPr>
        <w:spacing w:after="0" w:line="12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10.03.</w:t>
      </w:r>
      <w:r>
        <w:rPr>
          <w:sz w:val="20"/>
          <w:szCs w:val="20"/>
          <w:color w:val="auto"/>
        </w:rPr>
        <w:tab/>
      </w:r>
      <w:r>
        <w:rPr>
          <w:rFonts w:ascii="Times New Roman" w:cs="Times New Roman" w:eastAsia="Times New Roman" w:hAnsi="Times New Roman"/>
          <w:sz w:val="18"/>
          <w:szCs w:val="18"/>
          <w:b w:val="1"/>
          <w:bCs w:val="1"/>
          <w:u w:val="single" w:color="auto"/>
          <w:color w:val="auto"/>
        </w:rPr>
        <w:t>Payment</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 the discretion of the Committee, the amount payable when a Performance Award is earned may be settled in cash, by the issuance of Common Stock, by the delivery of other securities or property or a combination thereof.</w:t>
      </w:r>
    </w:p>
    <w:p>
      <w:pPr>
        <w:spacing w:after="0" w:line="10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10.04.</w:t>
      </w:r>
      <w:r>
        <w:rPr>
          <w:sz w:val="20"/>
          <w:szCs w:val="20"/>
          <w:color w:val="auto"/>
        </w:rPr>
        <w:tab/>
      </w:r>
      <w:r>
        <w:rPr>
          <w:rFonts w:ascii="Times New Roman" w:cs="Times New Roman" w:eastAsia="Times New Roman" w:hAnsi="Times New Roman"/>
          <w:sz w:val="18"/>
          <w:szCs w:val="18"/>
          <w:b w:val="1"/>
          <w:bCs w:val="1"/>
          <w:u w:val="single" w:color="auto"/>
          <w:color w:val="auto"/>
        </w:rPr>
        <w:t>Stockholder Rights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 Participant, as a result of receiving a Performance Award, shall not have any rights as a stockholder until, and then only to the extent that, the Performance Award is earned and settled in Common Stock (to the extent applicable). After a Performance Award is earned and settled in Common Stock, a Participant will have all the rights of a stockholder of the Company.</w:t>
      </w:r>
    </w:p>
    <w:p>
      <w:pPr>
        <w:spacing w:after="0" w:line="11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10.05.</w:t>
      </w:r>
      <w:r>
        <w:rPr>
          <w:sz w:val="20"/>
          <w:szCs w:val="20"/>
          <w:color w:val="auto"/>
        </w:rPr>
        <w:tab/>
      </w:r>
      <w:r>
        <w:rPr>
          <w:rFonts w:ascii="Times New Roman" w:cs="Times New Roman" w:eastAsia="Times New Roman" w:hAnsi="Times New Roman"/>
          <w:sz w:val="17"/>
          <w:szCs w:val="17"/>
          <w:b w:val="1"/>
          <w:bCs w:val="1"/>
          <w:u w:val="single" w:color="auto"/>
          <w:color w:val="auto"/>
        </w:rPr>
        <w:t>Transferability</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Any rights or restrictions with respect to the ability of the holder of a Performance Award granted under the Plan to transfer such Performance Award shall be set forth in the Agreement relating to such grant;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Performance Award may be transferred by will or the laws of descent and distribution.</w:t>
      </w:r>
    </w:p>
    <w:p>
      <w:pPr>
        <w:spacing w:after="0" w:line="11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10.06.</w:t>
      </w:r>
      <w:r>
        <w:rPr>
          <w:sz w:val="20"/>
          <w:szCs w:val="20"/>
          <w:color w:val="auto"/>
        </w:rPr>
        <w:tab/>
      </w:r>
      <w:r>
        <w:rPr>
          <w:rFonts w:ascii="Times New Roman" w:cs="Times New Roman" w:eastAsia="Times New Roman" w:hAnsi="Times New Roman"/>
          <w:sz w:val="17"/>
          <w:szCs w:val="17"/>
          <w:b w:val="1"/>
          <w:bCs w:val="1"/>
          <w:u w:val="single" w:color="auto"/>
          <w:color w:val="auto"/>
        </w:rPr>
        <w:t>Employee Status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the event that the terms of a Performance Award provide that no payment will be made unless the Participant completes a stated period of employment or continued service, the Committee may decide to what extent leaves of absence for government or military service, illness, temporary disability, or other reasons shall not be deemed interruptions of continuous employment or service.</w:t>
      </w:r>
    </w:p>
    <w:p>
      <w:pPr>
        <w:spacing w:after="0" w:line="11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OTHER EQUITY–BASED AWARDS</w:t>
      </w:r>
    </w:p>
    <w:p>
      <w:pPr>
        <w:spacing w:after="0" w:line="14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11.01.</w:t>
      </w:r>
      <w:r>
        <w:rPr>
          <w:sz w:val="20"/>
          <w:szCs w:val="20"/>
          <w:color w:val="auto"/>
        </w:rPr>
        <w:tab/>
      </w:r>
      <w:r>
        <w:rPr>
          <w:rFonts w:ascii="Times New Roman" w:cs="Times New Roman" w:eastAsia="Times New Roman" w:hAnsi="Times New Roman"/>
          <w:sz w:val="16"/>
          <w:szCs w:val="16"/>
          <w:b w:val="1"/>
          <w:bCs w:val="1"/>
          <w:u w:val="single" w:color="auto"/>
          <w:color w:val="auto"/>
        </w:rPr>
        <w:t>Award</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the provisions of Articles III and IV, the Committee will designate each Participant to whom an Other Equity-Based Award is to be made and will specify the number of shares of Common Stock or other equity interests (including LTIP Units) covered by such awards and the terms and conditions of such awards;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grant of LTIP Units must satisfy the requirements of the Operating Partnership Agreement as in effect on the date of grant. The Committee also will specify whether Dividend Equivalent Rights are granted in conjunction with the Other Equity-Based Award.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927" w:right="339" w:bottom="1440" w:gutter="0" w:footer="0" w:header="0"/>
        </w:sectPr>
      </w:pPr>
    </w:p>
    <w:bookmarkStart w:id="21" w:name="page22"/>
    <w:bookmarkEnd w:id="21"/>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11.02.</w:t>
      </w:r>
      <w:r>
        <w:rPr>
          <w:sz w:val="20"/>
          <w:szCs w:val="20"/>
          <w:color w:val="auto"/>
        </w:rPr>
        <w:tab/>
      </w:r>
      <w:r>
        <w:rPr>
          <w:rFonts w:ascii="Times New Roman" w:cs="Times New Roman" w:eastAsia="Times New Roman" w:hAnsi="Times New Roman"/>
          <w:sz w:val="17"/>
          <w:szCs w:val="17"/>
          <w:b w:val="1"/>
          <w:bCs w:val="1"/>
          <w:u w:val="single" w:color="auto"/>
          <w:color w:val="auto"/>
        </w:rPr>
        <w:t>Terms and Conditions</w:t>
      </w:r>
    </w:p>
    <w:p>
      <w:pPr>
        <w:spacing w:after="0" w:line="9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Committee, at the time an Other Equity-Based Award is made, shall specify the terms and conditions which govern the award. The terms and conditions of an Other Equity-Based Award may prescribe that a Participant’s rights in the Other Equity-Based Award shall be forfeitable, non-transferable or otherwise restricted for a period of time or subject to such other conditions as may be determined by the Committee, in its discretion and set forth in the applicable Agreement. By way of example and not of limitation, the Committee may prescribe that a Participant’s rights in an Other Equity-Based Award shall be forfeitable or otherwise restricted subject to continued employment or service, the attainment of performance objectives, including objectives stated with respect to one or more Performance Goals, or both. Other Equity-Based Awards may be granted to Participants, either alone or in addition to other Awards granted under the Plan, and Other Equity-Based Awards may be granted in the settlement of other Awards granted under the Plan.</w:t>
      </w:r>
    </w:p>
    <w:p>
      <w:pPr>
        <w:spacing w:after="0" w:line="1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11.03.</w:t>
      </w:r>
      <w:r>
        <w:rPr>
          <w:sz w:val="20"/>
          <w:szCs w:val="20"/>
          <w:color w:val="auto"/>
        </w:rPr>
        <w:tab/>
      </w:r>
      <w:r>
        <w:rPr>
          <w:rFonts w:ascii="Times New Roman" w:cs="Times New Roman" w:eastAsia="Times New Roman" w:hAnsi="Times New Roman"/>
          <w:sz w:val="17"/>
          <w:szCs w:val="17"/>
          <w:b w:val="1"/>
          <w:bCs w:val="1"/>
          <w:u w:val="single" w:color="auto"/>
          <w:color w:val="auto"/>
        </w:rPr>
        <w:t>Payment or Settlement</w:t>
      </w:r>
    </w:p>
    <w:p>
      <w:pPr>
        <w:spacing w:after="0" w:line="9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Other Equity-Based Awards valued in whole or in part by reference to, or otherwise based on, Common Stock, shall be payable or settled in Common Stock, cash or a combination of Common Stock and cash, as determined by the Committee in its discretion;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shares of Common Stock that are issued on account of the conversion of LTIP Units into Common Stock shall not reduce the number of shares of Common Stock available for issuance under the Plan. Other Equity-Based Awards denominated as equity interests other than Common Stock may be paid or settled in shares or units of such equity interests or cash or a combination of both as determined by the Committee in its discretion.</w:t>
      </w:r>
    </w:p>
    <w:p>
      <w:pPr>
        <w:spacing w:after="0" w:line="1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11.04.</w:t>
      </w:r>
      <w:r>
        <w:rPr>
          <w:sz w:val="20"/>
          <w:szCs w:val="20"/>
          <w:color w:val="auto"/>
        </w:rPr>
        <w:tab/>
      </w:r>
      <w:r>
        <w:rPr>
          <w:rFonts w:ascii="Times New Roman" w:cs="Times New Roman" w:eastAsia="Times New Roman" w:hAnsi="Times New Roman"/>
          <w:sz w:val="17"/>
          <w:szCs w:val="17"/>
          <w:b w:val="1"/>
          <w:bCs w:val="1"/>
          <w:u w:val="single" w:color="auto"/>
          <w:color w:val="auto"/>
        </w:rPr>
        <w:t>Employee Status</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If the terms of any Other Equity-Based Award provides that it may be earned or exercised only during employment or continued service or within a specified period of time after termination of employment or continued service, the Committee may decide to what extent leaves of absence for governmental or military service, illness, temporary disability or other reasons shall not be deemed interruptions of continuous employment or service.</w:t>
      </w:r>
    </w:p>
    <w:p>
      <w:pPr>
        <w:spacing w:after="0" w:line="11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11.05.</w:t>
      </w:r>
      <w:r>
        <w:rPr>
          <w:sz w:val="20"/>
          <w:szCs w:val="20"/>
          <w:color w:val="auto"/>
        </w:rPr>
        <w:tab/>
      </w:r>
      <w:r>
        <w:rPr>
          <w:rFonts w:ascii="Times New Roman" w:cs="Times New Roman" w:eastAsia="Times New Roman" w:hAnsi="Times New Roman"/>
          <w:sz w:val="17"/>
          <w:szCs w:val="17"/>
          <w:b w:val="1"/>
          <w:bCs w:val="1"/>
          <w:u w:val="single" w:color="auto"/>
          <w:color w:val="auto"/>
        </w:rPr>
        <w:t>Stockholder Rights</w:t>
      </w:r>
    </w:p>
    <w:p>
      <w:pPr>
        <w:spacing w:after="0" w:line="9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Except as otherwise expressly provided in an Agreement, a Participant, as a result of receiving an Other Equity-Based Award, shall not have any rights as a stockholder until, and then only to the extent that, the Other Equity-Based Award is earned and settled in Common Stock.</w:t>
      </w:r>
    </w:p>
    <w:p>
      <w:pPr>
        <w:spacing w:after="0" w:line="10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INCENTIVE AWARDS</w:t>
      </w:r>
    </w:p>
    <w:p>
      <w:pPr>
        <w:spacing w:after="0" w:line="14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12.01.</w:t>
      </w:r>
      <w:r>
        <w:rPr>
          <w:sz w:val="20"/>
          <w:szCs w:val="20"/>
          <w:color w:val="auto"/>
        </w:rPr>
        <w:tab/>
      </w:r>
      <w:r>
        <w:rPr>
          <w:rFonts w:ascii="Times New Roman" w:cs="Times New Roman" w:eastAsia="Times New Roman" w:hAnsi="Times New Roman"/>
          <w:sz w:val="17"/>
          <w:szCs w:val="17"/>
          <w:b w:val="1"/>
          <w:bCs w:val="1"/>
          <w:u w:val="single" w:color="auto"/>
          <w:color w:val="auto"/>
        </w:rPr>
        <w:t>Award</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accordance with the provisions of Articles III and IV, the Committee will designate each Participant to whom an Incentive Award is to be made and will specify the terms and conditions of such award. The Committee also will specify whether Dividend Equivalent Rights are granted in conjunction with the Incentive Award.</w:t>
      </w:r>
    </w:p>
    <w:p>
      <w:pPr>
        <w:spacing w:after="0" w:line="11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12.02.</w:t>
      </w:r>
      <w:r>
        <w:rPr>
          <w:sz w:val="20"/>
          <w:szCs w:val="20"/>
          <w:color w:val="auto"/>
        </w:rPr>
        <w:tab/>
      </w:r>
      <w:r>
        <w:rPr>
          <w:rFonts w:ascii="Times New Roman" w:cs="Times New Roman" w:eastAsia="Times New Roman" w:hAnsi="Times New Roman"/>
          <w:sz w:val="17"/>
          <w:szCs w:val="17"/>
          <w:b w:val="1"/>
          <w:bCs w:val="1"/>
          <w:u w:val="single" w:color="auto"/>
          <w:color w:val="auto"/>
        </w:rPr>
        <w:t>Terms and Conditions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Committee, at the time an Incentive Award is made, shall specify the terms and conditions that govern the award.</w:t>
      </w:r>
    </w:p>
    <w:p>
      <w:pPr>
        <w:spacing w:after="0" w:line="16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12.03.</w:t>
      </w:r>
      <w:r>
        <w:rPr>
          <w:sz w:val="20"/>
          <w:szCs w:val="20"/>
          <w:color w:val="auto"/>
        </w:rPr>
        <w:tab/>
      </w:r>
      <w:r>
        <w:rPr>
          <w:rFonts w:ascii="Times New Roman" w:cs="Times New Roman" w:eastAsia="Times New Roman" w:hAnsi="Times New Roman"/>
          <w:sz w:val="17"/>
          <w:szCs w:val="17"/>
          <w:b w:val="1"/>
          <w:bCs w:val="1"/>
          <w:u w:val="single" w:color="auto"/>
          <w:color w:val="auto"/>
        </w:rPr>
        <w:t>Nontransferability</w:t>
      </w:r>
    </w:p>
    <w:p>
      <w:pPr>
        <w:spacing w:after="0" w:line="17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Except to the extent otherwise provided in the applicable Agreement, Incentive Awards granted under the Plan shall, so long as such Incentive Awards are subject to vesting or forfeiture restrictions, be non-transferable except by will or by the laws of descent and distribution. No right or interest of a Participant in an Incentive Award shall be liable for, or subject to, any lien, obligation, or liability of such Participant.</w:t>
      </w:r>
    </w:p>
    <w:p>
      <w:pPr>
        <w:spacing w:after="0" w:line="11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12.04.</w:t>
      </w:r>
      <w:r>
        <w:rPr>
          <w:sz w:val="20"/>
          <w:szCs w:val="20"/>
          <w:color w:val="auto"/>
        </w:rPr>
        <w:tab/>
      </w:r>
      <w:r>
        <w:rPr>
          <w:rFonts w:ascii="Times New Roman" w:cs="Times New Roman" w:eastAsia="Times New Roman" w:hAnsi="Times New Roman"/>
          <w:sz w:val="17"/>
          <w:szCs w:val="17"/>
          <w:b w:val="1"/>
          <w:bCs w:val="1"/>
          <w:u w:val="single" w:color="auto"/>
          <w:color w:val="auto"/>
        </w:rPr>
        <w:t>Employee Status</w:t>
      </w:r>
    </w:p>
    <w:p>
      <w:pPr>
        <w:spacing w:after="0" w:line="175"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If the terms of an Incentive Award provide that a payment will be made thereunder only if the Participant completes a stated period of employment or continued service, the Committee may decide to what extent leaves of absence for governmental or military service, illness, temporary disability or other reasons shall not be deemed interruptions of continuous employment or service.</w:t>
      </w:r>
    </w:p>
    <w:p>
      <w:pPr>
        <w:spacing w:after="0" w:line="11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12.05.</w:t>
      </w:r>
      <w:r>
        <w:rPr>
          <w:sz w:val="20"/>
          <w:szCs w:val="20"/>
          <w:color w:val="auto"/>
        </w:rPr>
        <w:tab/>
      </w:r>
      <w:r>
        <w:rPr>
          <w:rFonts w:ascii="Times New Roman" w:cs="Times New Roman" w:eastAsia="Times New Roman" w:hAnsi="Times New Roman"/>
          <w:sz w:val="18"/>
          <w:szCs w:val="18"/>
          <w:b w:val="1"/>
          <w:bCs w:val="1"/>
          <w:u w:val="single" w:color="auto"/>
          <w:color w:val="auto"/>
        </w:rPr>
        <w:t>Settlement</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An Incentive Award that is earned shall be settled with a single lump sum payment which may be in cash, Common Stock or a combination of cash and Common Stock, as determined by the Committee.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927" w:right="339" w:bottom="1440" w:gutter="0" w:footer="0" w:header="0"/>
        </w:sectPr>
      </w:pPr>
    </w:p>
    <w:bookmarkStart w:id="22" w:name="page23"/>
    <w:bookmarkEnd w:id="22"/>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12.06.</w:t>
      </w:r>
      <w:r>
        <w:rPr>
          <w:sz w:val="20"/>
          <w:szCs w:val="20"/>
          <w:color w:val="auto"/>
        </w:rPr>
        <w:tab/>
      </w:r>
      <w:r>
        <w:rPr>
          <w:rFonts w:ascii="Times New Roman" w:cs="Times New Roman" w:eastAsia="Times New Roman" w:hAnsi="Times New Roman"/>
          <w:sz w:val="18"/>
          <w:szCs w:val="18"/>
          <w:b w:val="1"/>
          <w:bCs w:val="1"/>
          <w:u w:val="single" w:color="auto"/>
          <w:color w:val="auto"/>
        </w:rPr>
        <w:t>Stockholder Rights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No Participant shall, as a result of receiving an Incentive Award, have any rights as a stockholder until the date that the Incentive Award is settled and then only to the extent that the Incentive Award is settled by the issuance of Common Stock.</w:t>
      </w:r>
    </w:p>
    <w:p>
      <w:pPr>
        <w:spacing w:after="0" w:line="10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SUBSTITUTE AWARDS</w:t>
      </w:r>
    </w:p>
    <w:p>
      <w:pPr>
        <w:spacing w:after="0" w:line="15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Awards may be granted in substitution or exchange for any other Award granted under the Plan or under another plan of the Company or any other right of a Participant to receive payment from the Company. Awards may also be granted under the Plan in substitution for similar awards held by individuals who become Participants as a result of a merger, consolidation or acquisition of another entity or the assets of another entity by or with the Company or an Affiliate of the Company. Notwithstanding anything contained in the Plan to the contrary, such Substitute Awards referred to in the immediately preceding sentence that are Options or SARs may have an exercise price that is less than the Fair Market Value of a share of Common Stock on the date of the substitution if such substitution complies with Section 409A of the Code and other applicable laws and exchange rules. Except as provided in this Article XIII or in Articles XIV or XVII hereof, the terms of outstanding Awards may not be amended to reduce the exercise price or grant price of outstanding Options or SARs or to cancel outstanding Options and SARs in exchange for cash, other Awards or Options or SARs with an exercise price or grant price that is less than the exercise price or grant price of the original Options or SARs without the approval of the stockholders of the Company.</w:t>
      </w:r>
    </w:p>
    <w:p>
      <w:pPr>
        <w:spacing w:after="0" w:line="1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ADJUSTMENT UPON CHANGE IN COMMON SHARES</w:t>
      </w:r>
    </w:p>
    <w:p>
      <w:pPr>
        <w:spacing w:after="0" w:line="15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maximum number of shares of Common Stock as to which Awards may be granted under the Plan, the maximum number of shares of Common Stock that may be issued under the Plan through incentive stock options, the individual grant limitations of Section 5.04 and the terms of outstanding Awards granted under the Plan shall be adjusted as the Board determines is equitably required in the event that (i) the Company (a) effects one or more nonreciprocal transactions between the Company and its stockholders such as a stock dividend, extra-ordinary cash dividend, stock split, subdivision or consolidation of Common Stock that affects the number or kind of shares of Common Stock (or other securities of the Company) or the Fair Market Value (or the value of other Company securities) and causes a change in the Fair Market Value of the Common Stock subject to outstanding Awards or (b) engages in a transaction to which Section 424 of the Code applies or (ii) there occurs any other event which, in the judgment of the Board necessitates such action. Any determination made under this Article XIV by the Board shall be nondiscretionary, final and conclusive.</w:t>
      </w:r>
    </w:p>
    <w:p>
      <w:pPr>
        <w:spacing w:after="0" w:line="13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issuance by the Company of any class of Common Stock, or securities convertible into any class of Common Stock, for cash or property, or for labor or services, either upon direct sale or upon the exercise of rights or warrants to subscribe therefor, or upon conversion of Common Stock or obligations of the Company convertible into such Common Stock or other securities, shall not affect, and no adjustment by reason thereof shall be made with respect to, the maximum number of shares of Common Stock as to which Awards may be granted under the Plan, the maximum number of shares of Common Stock that may be issued under the Plan through incentive stock options, the individual grant limitations of Section 5.04 or the terms of outstanding Awards under the Plan.</w:t>
      </w:r>
    </w:p>
    <w:p>
      <w:pPr>
        <w:spacing w:after="0" w:line="133"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Committee may make Awards under the Plan in substitution for performance shares, phantom shares, share awards, stock options, stock appreciation rights, or similar awards held by an individual who becomes an employee of the Company or an Affiliate of the Company in connection with a transaction described in the first paragraph of this Article XIV. Notwithstanding any provision of the Plan, the terms of such substituted Awards granted under the Plan shall be as the Committee, in its discretion, determines is appropriate.</w:t>
      </w:r>
    </w:p>
    <w:p>
      <w:pPr>
        <w:spacing w:after="0" w:line="12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COMPLIANCE WITH LAW AND APPROVAL OF REGULATORY BODIES</w:t>
      </w:r>
    </w:p>
    <w:p>
      <w:pPr>
        <w:spacing w:after="0" w:line="15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No Option or SAR shall be exercisable, no Common Stock shall be issued, no certificates for Common Stock shall be delivered, and no payment shall be made under the Plan except in compliance with all applicable federal, state and foreign laws and regulations (including, without limitation, withholding tax requirements), any listing agreement to which the Company is a party, and the rules of all stock exchanges on which the Common Stock may be listed. The Company shall have the right to rely on an opinion of its counsel as to such compliance. Any certificate issued to represent Common Stock when an Award is granted, settled or exercised may bear such legends and statements as the Committee may deem advisable to assure compliance with federal, state and foreign laws and regulations. No Award shall be granted, settled or exercised until the Company has obtained such consent or approval as the Committee may deem advisable from regulatory bodies having jurisdiction over such matters.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927" w:right="339" w:bottom="1440" w:gutter="0" w:footer="0" w:header="0"/>
        </w:sectPr>
      </w:pPr>
    </w:p>
    <w:bookmarkStart w:id="23" w:name="page24"/>
    <w:bookmarkEnd w:id="23"/>
    <w:p>
      <w:pPr>
        <w:ind w:left="5240"/>
        <w:spacing w:after="0"/>
        <w:rPr>
          <w:sz w:val="20"/>
          <w:szCs w:val="20"/>
          <w:color w:val="auto"/>
        </w:rPr>
      </w:pPr>
      <w:r>
        <w:rPr>
          <w:rFonts w:ascii="Times New Roman" w:cs="Times New Roman" w:eastAsia="Times New Roman" w:hAnsi="Times New Roman"/>
          <w:sz w:val="18"/>
          <w:szCs w:val="18"/>
          <w:b w:val="1"/>
          <w:bCs w:val="1"/>
          <w:color w:val="auto"/>
        </w:rPr>
        <w:t>ARTICLE XVI</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4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16.01.</w:t>
      </w:r>
      <w:r>
        <w:rPr>
          <w:sz w:val="20"/>
          <w:szCs w:val="20"/>
          <w:color w:val="auto"/>
        </w:rPr>
        <w:tab/>
      </w:r>
      <w:r>
        <w:rPr>
          <w:rFonts w:ascii="Times New Roman" w:cs="Times New Roman" w:eastAsia="Times New Roman" w:hAnsi="Times New Roman"/>
          <w:sz w:val="17"/>
          <w:szCs w:val="17"/>
          <w:b w:val="1"/>
          <w:bCs w:val="1"/>
          <w:u w:val="single" w:color="auto"/>
          <w:color w:val="auto"/>
        </w:rPr>
        <w:t>Effect on Employment and Service</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Neither the adoption of the Plan, its operation, the grant of any Award, nor any documents describing or referring to the Plan (or any part thereof), shall confer upon any individual or entity any right to continue in the employ or service of the Company or an Affiliate of the Company or in any way affect any right and power of the Company or an Affiliate of the Company to terminate the employment or service of any individual or entity at any time with or without assigning a reason therefor.</w:t>
      </w:r>
    </w:p>
    <w:p>
      <w:pPr>
        <w:spacing w:after="0" w:line="12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16.02.</w:t>
      </w:r>
      <w:r>
        <w:rPr>
          <w:sz w:val="20"/>
          <w:szCs w:val="20"/>
          <w:color w:val="auto"/>
        </w:rPr>
        <w:tab/>
      </w:r>
      <w:r>
        <w:rPr>
          <w:rFonts w:ascii="Times New Roman" w:cs="Times New Roman" w:eastAsia="Times New Roman" w:hAnsi="Times New Roman"/>
          <w:sz w:val="17"/>
          <w:szCs w:val="17"/>
          <w:b w:val="1"/>
          <w:bCs w:val="1"/>
          <w:u w:val="single" w:color="auto"/>
          <w:color w:val="auto"/>
        </w:rPr>
        <w:t>Unfunded Plan</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Plan, insofar as it provides for grants, shall be unfunded, and the Company shall not be required to segregate any assets that may at any time be represented by grants under the Plan. Any liability of the Company to any person with respect to any grant under the Plan shall be based solely upon any contractual obligations that may be created pursuant to the Plan. No such obligation of the Company shall be deemed to be secured by any pledge of, or other encumbrance on, any property of the Company.</w:t>
      </w:r>
    </w:p>
    <w:p>
      <w:pPr>
        <w:spacing w:after="0" w:line="12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16.03.</w:t>
      </w:r>
      <w:r>
        <w:rPr>
          <w:sz w:val="20"/>
          <w:szCs w:val="20"/>
          <w:color w:val="auto"/>
        </w:rPr>
        <w:tab/>
      </w:r>
      <w:r>
        <w:rPr>
          <w:rFonts w:ascii="Times New Roman" w:cs="Times New Roman" w:eastAsia="Times New Roman" w:hAnsi="Times New Roman"/>
          <w:sz w:val="17"/>
          <w:szCs w:val="17"/>
          <w:b w:val="1"/>
          <w:bCs w:val="1"/>
          <w:u w:val="single" w:color="auto"/>
          <w:color w:val="auto"/>
        </w:rPr>
        <w:t>Rules of Construction</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Headings are given to the articles and sections of the Plan solely as a convenience to facilitate reference. The reference to any statute, regulation, or other provision of law shall be construed to refer to any amendment to or successor of such provision of law.</w:t>
      </w:r>
    </w:p>
    <w:p>
      <w:pPr>
        <w:spacing w:after="0" w:line="10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All Awards are intended to comply with, or otherwise be exempt from, Section 409A of the Code (“Section 409A”), after giving effect to the exemptions in Treasury Regulation sections 1.409A-1(b)(3) through (b)(12). The Plan and all Agreements shall be administered, interpreted and construed in a manner consistent with that intent. Nevertheless, the tax treatment of the benefits provided under the Plan or any Agreement is not warranted or guaranteed. Neither the Company, its Affiliates nor their respective directors or trustees, officers, employees or advisors (other than in his or her individual capacity as a Participant with respect to his or her individual liability for taxes, interest, penalties or other monetary amounts) shall be held liable for any taxes, interest, penalties or other monetary amounts owed by any Participant or any other taxpayer as a result of the Plan or any Agreement. If any provision of the Plan or any Agreement is found not to comply with, or otherwise not be exempt from, the provisions of Section 409A, it shall be modified and given effect, in the sole discretion of the Committee and without requiring the Participant’s consent, in such manner as the Committee determines to be necessary or appropriate to comply with, or effectuate an exemption from, Section 409A. Each payment under an Award granted under the Plan shall be treated as a separate identified payment for purposes of Section 409A.</w:t>
      </w:r>
    </w:p>
    <w:p>
      <w:pPr>
        <w:spacing w:after="0" w:line="14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If a payment obligation under an Award or an Agreement arises on account of the Participant’s termination of employment and such payment obligation constitutes “deferred compensation” (as defined under Treasury Regulation section 1.409A-1(b)(1), after giving effect to the exemptions in Treasury Regulation sections 1.409A-1(b)(3) through (b))12)), it shall be payable only after the Participant’s “separation from service” (as defined under Treasury Regulation section 1.409A-1(h));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Participant is a “specified employee” (as defined under Treasury Regulation section 1.409A-1(i)) then, subject to any permissible acceleration of payment by the Committee under Treasury Regulation Section 1.409A-3(j)(4)(ii) (domestic relations orders), Treasury Regulation Section 1.409A-3(j)(4)(iii) (conflicts of interest) or Treasury Regulation Section 1.409A-3(j)(4)(iv) (payment of employment taxes) any such payment that is scheduled to be paid within six months after such separation from service shall accrue without interest and shall be paid on the first day of the seventh month beginning after the date of the Participant’s separation from service or, if earlier, within fifteen days after the appointment of the personal representative or executor of the Participant’s estate following the Participant’s death.</w:t>
      </w:r>
    </w:p>
    <w:p>
      <w:pPr>
        <w:spacing w:after="0" w:line="13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16.04.</w:t>
      </w:r>
      <w:r>
        <w:rPr>
          <w:sz w:val="20"/>
          <w:szCs w:val="20"/>
          <w:color w:val="auto"/>
        </w:rPr>
        <w:tab/>
      </w:r>
      <w:r>
        <w:rPr>
          <w:rFonts w:ascii="Times New Roman" w:cs="Times New Roman" w:eastAsia="Times New Roman" w:hAnsi="Times New Roman"/>
          <w:sz w:val="17"/>
          <w:szCs w:val="17"/>
          <w:b w:val="1"/>
          <w:bCs w:val="1"/>
          <w:u w:val="single" w:color="auto"/>
          <w:color w:val="auto"/>
        </w:rPr>
        <w:t>Withholding Taxes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Each Participant shall be responsible for satisfying any income, employment and other tax withholding obligations attributable to participation in the Plan. Unless otherwise provided by the Agreement, any such withholding tax obligations may be satisfied in cash (including from any cash payable in settlement of an Award) or a cash equivalent acceptable to the Committee. Except to the extent prohibited by Treasury Regulation Section 1.409A-3(j), any statutory federal, state, district, city or foreign withholding tax obligations also may be satisfied (a) by surrendering to the Company Common Stock previously acquired by the Participant; (b) by authorizing the Company to withhold or reduce the number of shares of Common Stock otherwise issuable to the Participant upon the grant, vesting, settlement and/or exercise of an Award; or (c) by any other method as may be approved by the Committee. If shares of Common Stock are used to pay all or part of such withholding tax obligation, the maximum number of shares of Common Stock that may be so surrendered, withheld or reduced shall be the number of shares of Common Stock which have an aggregate Fair Market Value on the date of surrender, withholding 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927"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reduction equal to the aggregate amount of such tax liabilities determined based on the greatest withholding rates for federal, state, foreign and/or local tax purposes, including payroll taxes, that may be utilized without creating adverse accounting treatment with respect to such Award, as determined by the Committee.</w:t>
      </w:r>
    </w:p>
    <w:p>
      <w:pPr>
        <w:spacing w:after="0" w:line="11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16.05.</w:t>
      </w:r>
      <w:r>
        <w:rPr>
          <w:sz w:val="20"/>
          <w:szCs w:val="20"/>
          <w:color w:val="auto"/>
        </w:rPr>
        <w:tab/>
      </w:r>
      <w:r>
        <w:rPr>
          <w:rFonts w:ascii="Times New Roman" w:cs="Times New Roman" w:eastAsia="Times New Roman" w:hAnsi="Times New Roman"/>
          <w:sz w:val="17"/>
          <w:szCs w:val="17"/>
          <w:b w:val="1"/>
          <w:bCs w:val="1"/>
          <w:u w:val="single" w:color="auto"/>
          <w:color w:val="auto"/>
        </w:rPr>
        <w:t>Fractional Shares</w:t>
      </w:r>
    </w:p>
    <w:p>
      <w:pPr>
        <w:spacing w:after="0" w:line="175"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No fractional share of Common Stock shall be issued or delivered pursuant to the Plan or any Award, and the Committee shall determine in its sole discretion whether cash, other securities, or other property shall be paid or transferred in lieu of any fractional share of Common Stock or whether such fractional share of Common Stock or any rights thereto shall be canceled, terminated, or otherwise eliminated with or without consideration.</w:t>
      </w:r>
    </w:p>
    <w:p>
      <w:pPr>
        <w:spacing w:after="0" w:line="11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16.06.</w:t>
      </w:r>
      <w:r>
        <w:rPr>
          <w:sz w:val="20"/>
          <w:szCs w:val="20"/>
          <w:color w:val="auto"/>
        </w:rPr>
        <w:tab/>
      </w:r>
      <w:r>
        <w:rPr>
          <w:rFonts w:ascii="Times New Roman" w:cs="Times New Roman" w:eastAsia="Times New Roman" w:hAnsi="Times New Roman"/>
          <w:sz w:val="18"/>
          <w:szCs w:val="18"/>
          <w:b w:val="1"/>
          <w:bCs w:val="1"/>
          <w:u w:val="single" w:color="auto"/>
          <w:color w:val="auto"/>
        </w:rPr>
        <w:t>Certificate of Incorporation</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No Award shall be granted or awarded, and with respect to any Award granted under the Plan, such Award shall not vest, be exercisable or be settled to the extent that the grant, vesting, exercise or settlement could cause the Participant or any other person to be in violation of the share ownership limit or any other limitation on ownership or transfer prescribed by the Certificate of Incorporation, as it may be amended, supplemented, restated, or otherwise modified from time to time.</w:t>
      </w:r>
    </w:p>
    <w:p>
      <w:pPr>
        <w:spacing w:after="0" w:line="12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16.07.</w:t>
      </w:r>
      <w:r>
        <w:rPr>
          <w:sz w:val="20"/>
          <w:szCs w:val="20"/>
          <w:color w:val="auto"/>
        </w:rPr>
        <w:tab/>
      </w:r>
      <w:r>
        <w:rPr>
          <w:rFonts w:ascii="Times New Roman" w:cs="Times New Roman" w:eastAsia="Times New Roman" w:hAnsi="Times New Roman"/>
          <w:sz w:val="17"/>
          <w:szCs w:val="17"/>
          <w:b w:val="1"/>
          <w:bCs w:val="1"/>
          <w:u w:val="single" w:color="auto"/>
          <w:color w:val="auto"/>
        </w:rPr>
        <w:t>Governing Law</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All questions arising with respect to the provisions of the Plan and Awards shall be determined by application of the laws of the State of Delaware, without giving effect to any conflict of law provisions thereof, except to the extent Delaware law is preempted by federal law. The obligation of the Company to sell and deliver Common Stock hereunder is subject to applicable federal and state laws and to the approval of any governmental authority required in connection with the authorization, issuance, sale, or delivery of such Common Stock.</w:t>
      </w:r>
    </w:p>
    <w:p>
      <w:pPr>
        <w:spacing w:after="0" w:line="12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16.08.</w:t>
      </w:r>
      <w:r>
        <w:rPr>
          <w:sz w:val="20"/>
          <w:szCs w:val="20"/>
          <w:color w:val="auto"/>
        </w:rPr>
        <w:tab/>
      </w:r>
      <w:r>
        <w:rPr>
          <w:rFonts w:ascii="Times New Roman" w:cs="Times New Roman" w:eastAsia="Times New Roman" w:hAnsi="Times New Roman"/>
          <w:sz w:val="17"/>
          <w:szCs w:val="17"/>
          <w:b w:val="1"/>
          <w:bCs w:val="1"/>
          <w:u w:val="single" w:color="auto"/>
          <w:color w:val="auto"/>
        </w:rPr>
        <w:t>Clawback</w:t>
      </w:r>
    </w:p>
    <w:p>
      <w:pPr>
        <w:spacing w:after="0" w:line="175"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Plan and all Awards granted hereunder are subject to any written clawback policies that the Company, with the approval of the Board or an authorized committee thereof, may adopt either prior to or following the Effective Date, including any policy adopted to conform to the Dodd-Frank Wall Street Reform and Consumer Protection Act of 2010, Exchange Act Rule 10D-1 and the listing standards of any national securities exchange on which the Common Stock is listed (collectively, and as each may be amended from time to time, the "Clawback Policy").</w:t>
      </w:r>
    </w:p>
    <w:p>
      <w:pPr>
        <w:spacing w:after="0" w:line="126"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rights of the Company under the Clawback Policy shall be in addition to, and not in lieu of, any other rights or remedies available to the Company at law or in equity. No recovery of compensation under the Clawback Policy shall constitute an event giving rise to a Participant's right to resign for Good Reason, or be deemed a constructive termination of the Participant's employment or services, under the Plan or any Agreement.</w:t>
      </w:r>
    </w:p>
    <w:p>
      <w:pPr>
        <w:spacing w:after="0" w:line="11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16.09.</w:t>
      </w:r>
      <w:r>
        <w:rPr>
          <w:sz w:val="20"/>
          <w:szCs w:val="20"/>
          <w:color w:val="auto"/>
        </w:rPr>
        <w:tab/>
      </w:r>
      <w:r>
        <w:rPr>
          <w:rFonts w:ascii="Times New Roman" w:cs="Times New Roman" w:eastAsia="Times New Roman" w:hAnsi="Times New Roman"/>
          <w:sz w:val="17"/>
          <w:szCs w:val="17"/>
          <w:b w:val="1"/>
          <w:bCs w:val="1"/>
          <w:u w:val="single" w:color="auto"/>
          <w:color w:val="auto"/>
        </w:rPr>
        <w:t>Elections Under Section 83(b)</w:t>
      </w:r>
    </w:p>
    <w:p>
      <w:pPr>
        <w:spacing w:after="0" w:line="175"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No Participant may make an election under Section 83(b) of the Code with respect to the grant of any Award, the vesting of any Award, the settlement of any Award or the issuance of Common Stock under the Plan without the consent of the Company, which the Company may grant or withhold in its sole discretion.</w:t>
      </w:r>
    </w:p>
    <w:p>
      <w:pPr>
        <w:spacing w:after="0" w:line="11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16.10.</w:t>
      </w:r>
      <w:r>
        <w:rPr>
          <w:sz w:val="20"/>
          <w:szCs w:val="20"/>
          <w:color w:val="auto"/>
        </w:rPr>
        <w:tab/>
      </w:r>
      <w:r>
        <w:rPr>
          <w:rFonts w:ascii="Times New Roman" w:cs="Times New Roman" w:eastAsia="Times New Roman" w:hAnsi="Times New Roman"/>
          <w:sz w:val="18"/>
          <w:szCs w:val="18"/>
          <w:b w:val="1"/>
          <w:bCs w:val="1"/>
          <w:u w:val="single" w:color="auto"/>
          <w:color w:val="auto"/>
        </w:rPr>
        <w:t>Severability</w:t>
      </w:r>
    </w:p>
    <w:p>
      <w:pPr>
        <w:spacing w:after="0" w:line="17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If any provision of the Plan or any Award or Agreement is or becomes or is deemed to be invalid, illegal or unenforceable in any jurisdiction, or as to any Participant or Award, or would disqualify the Plan or any Award under any law deemed applicable by the Committee, such provision shall be construed or deemed amended to conform to applicable law, or if it cannot be construed or deemed amended without, in the determination of the Committee, materially altering the intent of the Plan or the Award, such provision shall be stricken as to such jurisdiction, Participant or Award, and the remainder of the Plan and any such Award shall remain in full force and effect.</w:t>
      </w:r>
    </w:p>
    <w:p>
      <w:pPr>
        <w:spacing w:after="0" w:line="12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ARTICLE XVII</w:t>
      </w:r>
    </w:p>
    <w:p>
      <w:pPr>
        <w:spacing w:after="0" w:line="3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CHANGE IN CONTROL</w:t>
      </w:r>
    </w:p>
    <w:p>
      <w:pPr>
        <w:spacing w:after="0" w:line="14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17.01.</w:t>
      </w:r>
      <w:r>
        <w:rPr>
          <w:sz w:val="20"/>
          <w:szCs w:val="20"/>
          <w:color w:val="auto"/>
        </w:rPr>
        <w:tab/>
      </w:r>
      <w:r>
        <w:rPr>
          <w:rFonts w:ascii="Times New Roman" w:cs="Times New Roman" w:eastAsia="Times New Roman" w:hAnsi="Times New Roman"/>
          <w:sz w:val="17"/>
          <w:szCs w:val="17"/>
          <w:b w:val="1"/>
          <w:bCs w:val="1"/>
          <w:u w:val="single" w:color="auto"/>
          <w:color w:val="auto"/>
        </w:rPr>
        <w:t>Impact of Change in Control.</w:t>
      </w:r>
    </w:p>
    <w:p>
      <w:pPr>
        <w:spacing w:after="0" w:line="175" w:lineRule="exact"/>
        <w:rPr>
          <w:sz w:val="20"/>
          <w:szCs w:val="20"/>
          <w:color w:val="auto"/>
        </w:rPr>
      </w:pPr>
    </w:p>
    <w:p>
      <w:pPr>
        <w:ind w:right="60" w:firstLine="405"/>
        <w:spacing w:after="0" w:line="289" w:lineRule="auto"/>
        <w:rPr>
          <w:sz w:val="20"/>
          <w:szCs w:val="20"/>
          <w:color w:val="auto"/>
        </w:rPr>
      </w:pPr>
      <w:r>
        <w:rPr>
          <w:rFonts w:ascii="Times New Roman" w:cs="Times New Roman" w:eastAsia="Times New Roman" w:hAnsi="Times New Roman"/>
          <w:sz w:val="17"/>
          <w:szCs w:val="17"/>
          <w:color w:val="auto"/>
        </w:rPr>
        <w:t>In the event of a Qualifying Termination, all outstanding Options and SARs shall become fully vested and exercisable upon a Qualifying Termination and (b) all other outstanding Awards shall become fully earned and non-forfeitable in their entirety upon a Qualifying Termination, with any applicable performance conditions deemed satisfied at the greater of target level or actual performance measured as of the date of such Qualifying Termination.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931" w:right="339" w:bottom="1440" w:gutter="0" w:footer="0" w:header="0"/>
        </w:sectPr>
      </w:pPr>
    </w:p>
    <w:bookmarkStart w:id="25" w:name="page26"/>
    <w:bookmarkEnd w:id="25"/>
    <w:p>
      <w:pPr>
        <w:ind w:right="360" w:firstLine="405"/>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an outstanding Award is assumed by, or replaced with a substitute award granted by, the Successor Entity (or, if applicable, the Parent Company) in accordance with Section 17.02, then upon a Participant's Qualifying Termination, all such assumed or substituted Awards held by such Participant shall automatically become immediately fully vested (and, in the case of Options and SARs, exercisable), and any applicable performance conditions shall be deemed satisfied at the greater of target level or actual performance as of the date of such Qualifying Termination.</w:t>
      </w:r>
    </w:p>
    <w:p>
      <w:pPr>
        <w:spacing w:after="0" w:line="1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17.02.</w:t>
      </w:r>
      <w:r>
        <w:rPr>
          <w:sz w:val="20"/>
          <w:szCs w:val="20"/>
          <w:color w:val="auto"/>
        </w:rPr>
        <w:tab/>
      </w:r>
      <w:r>
        <w:rPr>
          <w:rFonts w:ascii="Times New Roman" w:cs="Times New Roman" w:eastAsia="Times New Roman" w:hAnsi="Times New Roman"/>
          <w:sz w:val="17"/>
          <w:szCs w:val="17"/>
          <w:b w:val="1"/>
          <w:bCs w:val="1"/>
          <w:u w:val="single" w:color="auto"/>
          <w:color w:val="auto"/>
        </w:rPr>
        <w:t>Assumption Upon Change in Control.</w:t>
      </w:r>
    </w:p>
    <w:p>
      <w:pPr>
        <w:spacing w:after="0" w:line="175"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the event of a Change in Control, the Committee, in its discretion and without the need for a Participant’s consent, may provide that an outstanding Award shall be assumed by, or a substitute award shall be granted by, the Successor Entity (or, if applicable, the Parent Company) in the Change in Control. The assumed or substituted award shall have a value, as of the Control Change Date, that is substantially equal to the value of the original Award as of such date as the Committee determines is equitably required, and shall otherwise be on substantially equivalent terms and conditions as the original Award (including with respect to vesting schedule and, if applicable, performance conditions, subject to any adjustment the Committee deems appropriate to reflect the Change in Control transaction).</w:t>
      </w:r>
    </w:p>
    <w:p>
      <w:pPr>
        <w:spacing w:after="0" w:line="1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17.03.</w:t>
      </w:r>
      <w:r>
        <w:rPr>
          <w:sz w:val="20"/>
          <w:szCs w:val="20"/>
          <w:color w:val="auto"/>
        </w:rPr>
        <w:tab/>
      </w:r>
      <w:r>
        <w:rPr>
          <w:rFonts w:ascii="Times New Roman" w:cs="Times New Roman" w:eastAsia="Times New Roman" w:hAnsi="Times New Roman"/>
          <w:sz w:val="17"/>
          <w:szCs w:val="17"/>
          <w:b w:val="1"/>
          <w:bCs w:val="1"/>
          <w:u w:val="single" w:color="auto"/>
          <w:color w:val="auto"/>
        </w:rPr>
        <w:t>Cash-Out Upon Change in Control.</w:t>
      </w:r>
    </w:p>
    <w:p>
      <w:pPr>
        <w:spacing w:after="0" w:line="175" w:lineRule="exact"/>
        <w:rPr>
          <w:sz w:val="20"/>
          <w:szCs w:val="20"/>
          <w:color w:val="auto"/>
        </w:rPr>
      </w:pPr>
    </w:p>
    <w:p>
      <w:pPr>
        <w:ind w:right="20" w:firstLine="405"/>
        <w:spacing w:after="0" w:line="270" w:lineRule="auto"/>
        <w:rPr>
          <w:sz w:val="20"/>
          <w:szCs w:val="20"/>
          <w:color w:val="auto"/>
        </w:rPr>
      </w:pPr>
      <w:r>
        <w:rPr>
          <w:rFonts w:ascii="Times New Roman" w:cs="Times New Roman" w:eastAsia="Times New Roman" w:hAnsi="Times New Roman"/>
          <w:sz w:val="17"/>
          <w:szCs w:val="17"/>
          <w:color w:val="auto"/>
        </w:rPr>
        <w:t>If an Award is not assumed or replaced with a substitute award in accordance with Section 17.02, upon a Change in Control, the Committee, in its discretion and without the need of a Participant’s consent, may provide that each Award shall be cancelled in exchange for a payment. The payment may be in cash, Common Stock or other securities or consideration received by stockholders in the Change in Control transaction. The amount of the payment shall be an amount that is substantially equal to (a) if the Award is denominated or to be settled in cash, the entire amount that can be paid under the Award or (b)</w:t>
      </w:r>
    </w:p>
    <w:p>
      <w:pPr>
        <w:spacing w:after="0" w:line="3" w:lineRule="exact"/>
        <w:rPr>
          <w:sz w:val="20"/>
          <w:szCs w:val="20"/>
          <w:color w:val="auto"/>
        </w:rPr>
      </w:pPr>
    </w:p>
    <w:p>
      <w:pPr>
        <w:ind w:firstLine="8"/>
        <w:spacing w:after="0" w:line="271" w:lineRule="auto"/>
        <w:tabs>
          <w:tab w:leader="none" w:pos="2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by which the price per share received by stockholders in the Change in Control for each share of Common Stock exceeds the Option price or Initial Value in the case of an Option and SAR, or (ii) for each share of Common Stock subject to an Award denominated in Common Stock or valued in reference to Common Stock, the price per share received by stockholders or (iii) for each other Award denominated in other securities or property, the value of such other securities or property, in each case as determined by the Committee. If the Option price or Initial Value exceeds the price per share received by stockholders in the Change in Control transaction, the Option or SAR may be cancelled under this Section 17.03 without any payment to the Participant.</w:t>
      </w:r>
    </w:p>
    <w:p>
      <w:pPr>
        <w:spacing w:after="0" w:line="1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XVIII</w:t>
      </w:r>
    </w:p>
    <w:p>
      <w:pPr>
        <w:spacing w:after="0" w:line="3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15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The Board may amend or terminate the Plan at any time;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amendment may adversely impair the rights of Participants with respect to outstanding Awards. In addition, an amendment will be contingent on approval of the Company’s stockholders if such approval is required by law or the rules of any exchange on which the Common Stock are listed or if the amendment would materially increase the benefits accruing to Participants under the Plan, materially increase the aggregate number of shares of Common Stock that may be issued under the Plan (except as provided in Article XIV) or materially modify the requirements as to eligibility for participation in the Plan. For the avoidance of doubt, the Board may not (except pursuant to Articles XIII, XIV or XVII) without the approval of the Company’s stockholders (a) reduce the Option price per share of an outstanding Option or the Initial Value of an outstanding SAR, (b) make a payment to cancel an outstanding Option or SAR when the Option price or Initial Value, as applicable, exceeds the Fair Market Value or (c) take any other action with respect to an outstanding Option or SAR that may be treated as a repricing of the Award under the rules and regulations of the principal securities exchange on which the Common Stock is listed for trading.</w:t>
      </w:r>
    </w:p>
    <w:p>
      <w:pPr>
        <w:spacing w:after="0" w:line="13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ARTICLE XIX</w:t>
      </w:r>
    </w:p>
    <w:p>
      <w:pPr>
        <w:spacing w:after="0" w:line="3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DURATION OF PLAN</w:t>
      </w:r>
    </w:p>
    <w:p>
      <w:pPr>
        <w:spacing w:after="0" w:line="153"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No Award may be granted under the Plan on and after the tenth anniversary of the Effective Date. Awards granted before such date shall remain valid in accordance with their terms.</w:t>
      </w:r>
    </w:p>
    <w:p>
      <w:pPr>
        <w:spacing w:after="0" w:line="10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ARTICLE XX</w:t>
      </w:r>
    </w:p>
    <w:p>
      <w:pPr>
        <w:spacing w:after="0" w:line="3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EFFECTIVENESS OF PLAN</w:t>
      </w:r>
    </w:p>
    <w:p>
      <w:pPr>
        <w:spacing w:after="0" w:line="151" w:lineRule="exact"/>
        <w:rPr>
          <w:sz w:val="20"/>
          <w:szCs w:val="20"/>
          <w:color w:val="auto"/>
        </w:rPr>
      </w:pPr>
    </w:p>
    <w:p>
      <w:pPr>
        <w:ind w:right="1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Awards may be granted under the Plan on and after the Effective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Award shall be exercisable, vested or settled unless and until the Plan is approved by the stockholders of the Company within twelve months after the Effective Date.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04"/>
    </w:lvl>
  </w:abstractNum>
  <w:abstractNum w:abstractNumId="3">
    <w:nsid w:val="41B71EFB"/>
    <w:multiLevelType w:val="hybridMultilevel"/>
    <w:lvl w:ilvl="0">
      <w:lvlJc w:val="left"/>
      <w:lvlText w:val="(%1)"/>
      <w:numFmt w:val="lowerRoman"/>
      <w:start w:val="3"/>
    </w:lvl>
  </w:abstractNum>
  <w:abstractNum w:abstractNumId="4">
    <w:nsid w:val="79E2A9E3"/>
    <w:multiLevelType w:val="hybridMultilevel"/>
    <w:lvl w:ilvl="0">
      <w:lvlJc w:val="left"/>
      <w:lvlText w:val="(%1)"/>
      <w:numFmt w:val="lowerLetter"/>
      <w:start w:val="1"/>
    </w:lvl>
    <w:lvl w:ilvl="1">
      <w:lvlJc w:val="left"/>
      <w:lvlText w:val="(%2)"/>
      <w:numFmt w:val="lowerRoman"/>
      <w:start w:val="1"/>
    </w:lvl>
  </w:abstractNum>
  <w:abstractNum w:abstractNumId="5">
    <w:nsid w:val="7545E146"/>
    <w:multiLevelType w:val="hybridMultilevel"/>
    <w:lvl w:ilvl="0">
      <w:lvlJc w:val="left"/>
      <w:lvlText w:val="(%1)"/>
      <w:numFmt w:val="lowerRoman"/>
      <w:start w:val="1"/>
    </w:lvl>
  </w:abstractNum>
  <w:abstractNum w:abstractNumId="6">
    <w:nsid w:val="515F007C"/>
    <w:multiLevelType w:val="hybridMultilevel"/>
    <w:lvl w:ilvl="0">
      <w:lvlJc w:val="left"/>
      <w:lvlText w:val="(%1)"/>
      <w:numFmt w:val="lowerRoman"/>
      <w:start w:val="2"/>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0" Type="http://schemas.openxmlformats.org/officeDocument/2006/relationships/hyperlink" Target="https://www.sec.gov/ix?doc=/Archives/edgar/data/0001411342/000162828026024281/efc-202604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2026-05-29T16:58:08Z</dcterms:created>
  <dcterms:modified xsi:type="dcterms:W3CDTF">2026-05-29T16:58:08Z</dcterms:modified>
</cp:coreProperties>
</file>