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8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August 6,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b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the disclosure incorporated by reference in Item 7.01 with respect to Exhibit 99.1 attached to this Current Report on Form 8-K are being furnished by Ellington Financial Inc. (the "Company") pursuant to Item 7.01 of Form 8-K in satisfaction of the public disclosure requirements of Regulation FD and Item 2.02 of Form 8-K, insofar as they disclose historical information regarding the Company's results of operations or financial condition for the quarter ended June 30, 2026.</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announcing its financial results for the quarter ended June 30, 2026. A copy of the press release is furnished herewith as Exhibit 99.1 to this Current Report on Form 8-K and is incorporated herein by reference.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2.02 and the disclosure incorporated by reference in Item 7.01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disclosure contained in Item 2.02 is incorporated herein by reference.</w:t>
      </w:r>
    </w:p>
    <w:p>
      <w:pPr>
        <w:pStyle w:val="TextBody"/>
        <w:bidi w:val="0"/>
        <w:spacing w:lineRule="auto" w:line="288" w:before="0" w:after="0"/>
        <w:jc w:val="left"/>
        <w:rPr>
          <w:color w:val="000000"/>
        </w:rPr>
      </w:pPr>
      <w:r>
        <w:rPr>
          <w:color w:val="000000"/>
        </w:rPr>
        <w:t> </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color w:val="000000"/>
        </w:rPr>
        <w:t xml:space="preserve"> </w:t>
      </w:r>
      <w:r>
        <w:rPr>
          <w:rFonts w:ascii="Times New Roman;serif" w:hAnsi="Times New Roman;serif"/>
          <w:b w:val="false"/>
          <w:color w:val="000000"/>
          <w:sz w:val="20"/>
        </w:rPr>
        <w:t>The following exhibits are being furnished herewith this Current Report on Form 8-K.</w:t>
      </w:r>
    </w:p>
    <w:tbl>
      <w:tblPr>
        <w:tblW w:w="7234" w:type="dxa"/>
        <w:jc w:val="left"/>
        <w:tblInd w:w="0" w:type="dxa"/>
        <w:tblLayout w:type="fixed"/>
        <w:tblCellMar>
          <w:top w:w="28" w:type="dxa"/>
          <w:left w:w="28" w:type="dxa"/>
          <w:bottom w:w="28" w:type="dxa"/>
          <w:right w:w="28" w:type="dxa"/>
        </w:tblCellMar>
      </w:tblPr>
      <w:tblGrid>
        <w:gridCol w:w="279"/>
        <w:gridCol w:w="247"/>
        <w:gridCol w:w="109"/>
        <w:gridCol w:w="1931"/>
        <w:gridCol w:w="1931"/>
        <w:gridCol w:w="2737"/>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fcearningsreleaseq22026.htm">
              <w:r>
                <w:rPr>
                  <w:rStyle w:val="InternetLink"/>
                  <w:rFonts w:ascii="Times New Roman;serif" w:hAnsi="Times New Roman;serif"/>
                  <w:b w:val="false"/>
                  <w:color w:val="0000FF"/>
                  <w:sz w:val="20"/>
                  <w:u w:val="single"/>
                </w:rPr>
                <w:t>Earnings Press Release dated August 6, 2026</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227"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Ellington Financial Inc. Reports Second Quarter 2026 Results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Connecticut—August 6, 2026</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Inc. (NYSE: EFC) ("we") today reported financial results for the quarter ended June 30,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Net income attributable to common stockholders of $54.4 million, or $0.43 per common share, including unallocated Corporate/Other income and expense items.</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$74.2 million, or $0.59 per common share, from the investment portfolio segment.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$30.2 million, or $0.24 per common share, from Longbridge segment.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Adjusted Distributable Earnings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$75.5 million, or $0.60 per common share, including unallocated Corporate/Other income and expense items.</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$75.7 million, or $0.60 per common share, from the investment portfolio segment.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$28.9 million, or $0.23 per common share, from Longbridge segment.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Book value per common share of $13.61 as of June 30, 2026, including the effects of dividends of $0.39 per common share for the quarter.</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Recourse debt-to-equity ratio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1.9:1 as of June 30, 2026. Including all recourse and non-recourse borrowings, which primarily consist of securitization-related liabilities, debt-to-equity ratio of 9.2:1</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29% of total recourse borrowings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are long-term and non-mark-to-market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17% of total recourse borrowings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are unsecured</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Weighted average remaining term of repo borrowings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is 9.3 months</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Total unencumbered assets</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of $1.86 billion, consisting of cash and cash equivalents of $247.5 million and other unencumbered assets of $1.61 billion as of June 30,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Second Quarter 2026 Results </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"Ellington Financial delivered another standout quarter, with continued book value growth and adjusted distributable earnings well in excess of our dividends, reflecting the strength and increasing momentum of our platform," said Laurence Penn, Chief Executive Officer and President.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second quarter results reflected positive trends that have steadily built over recent quarters. Credit performance remained strong across our loan portfolios, while our stable, flexible funding profile and expanding securitization platform further enhanced our balance sheet. Longbridge once again delivered exceptional performance, demonstrating the advantages of our vertically integrated reverse mortgage platform. Meanwhile, our other loan origination partners delivered solid results, and a growing pipeline of high-yielding, high-quality loans across our sourcing channels continued to provide attractive portfolio investments.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"Together, these factors drove strong performance throughout the first half of 2026, during which we generated an annualized economic return of 20%, increased book value per share by $0.45, and generated ADE of $1.15, comfortably covering dividends of $0.78.</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"Looking ahead, we believe that our competitive advantages position us to sustain our momentum while generating attractive risk-adjusted returns for our shareholders, consistent with the prudent risk management that has long defined Ellington Financial."</w:t>
      </w:r>
    </w:p>
    <w:p>
      <w:pPr>
        <w:pStyle w:val="TextBody"/>
        <w:bidi w:val="0"/>
        <w:spacing w:lineRule="auto" w:line="288" w:before="0" w:after="0"/>
        <w:ind w:left="0" w:right="0" w:hanging="9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Adjusted Distributable Earnings is a non-GAAP financial measure. See "Reconciliation of Net Income (Loss) to Adjusted Distributable Earnings" below for an explanation regarding the calculation of Adjusted Distributable Earnings.</w:t>
      </w:r>
    </w:p>
    <w:p>
      <w:pPr>
        <w:pStyle w:val="TextBody"/>
        <w:bidi w:val="0"/>
        <w:spacing w:lineRule="auto" w:line="288" w:before="0" w:after="0"/>
        <w:ind w:left="0" w:right="0" w:hanging="9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Excludes borrowings collateralized by U.S. Treasury securities.</w:t>
      </w:r>
    </w:p>
    <w:p>
      <w:pPr>
        <w:pStyle w:val="TextBody"/>
        <w:bidi w:val="0"/>
        <w:spacing w:lineRule="auto" w:line="288" w:before="0" w:after="0"/>
        <w:ind w:left="0" w:right="0" w:hanging="9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6"/>
        </w:rPr>
        <w:t>Total unencumbered assets is calculated in accordance with the definition of "Consolidated Unencumbered Assets" set forth in the indenture governing our 7.375% Senior Notes due September 30,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Financial Results</w:t>
      </w:r>
    </w:p>
    <w:p>
      <w:pPr>
        <w:pStyle w:val="TextBody"/>
        <w:bidi w:val="0"/>
        <w:spacing w:lineRule="auto" w:line="288" w:before="90" w:after="283"/>
        <w:jc w:val="left"/>
        <w:rPr>
          <w:rFonts w:ascii="Times New Roman;serif" w:hAnsi="Times New Roman;serif"/>
          <w:b/>
          <w:i/>
          <w:color w:val="000000"/>
          <w:sz w:val="20"/>
        </w:rPr>
      </w:pPr>
      <w:r>
        <w:rPr>
          <w:rFonts w:ascii="Times New Roman;serif" w:hAnsi="Times New Roman;serif"/>
          <w:b/>
          <w:i/>
          <w:color w:val="000000"/>
          <w:sz w:val="20"/>
        </w:rPr>
        <w:t>Investment Portfolio Segment</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The investment portfolio segment generated net income attributable to common stockholders of $74.2 million in the second quarter.</w:t>
      </w:r>
    </w:p>
    <w:p>
      <w:pPr>
        <w:pStyle w:val="TextBody"/>
        <w:bidi w:val="0"/>
        <w:spacing w:lineRule="auto" w:line="288" w:before="180" w:after="283"/>
        <w:jc w:val="left"/>
        <w:rPr/>
      </w:pPr>
      <w:r>
        <w:rPr>
          <w:rFonts w:ascii="Times New Roman;serif" w:hAnsi="Times New Roman;serif"/>
          <w:b w:val="false"/>
          <w:color w:val="000000"/>
          <w:sz w:val="20"/>
        </w:rPr>
        <w:t>The total adjusted long portfolio</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increased by approximately 1% sequentially, to $4.50 billion as of June 30, 2026. Growth in our residential transition loan and commercial mortgage bridge loan portfolios, as well as retained RMBS, more than offset the impact of continued securitization activity.</w:t>
      </w:r>
    </w:p>
    <w:p>
      <w:pPr>
        <w:pStyle w:val="TextBody"/>
        <w:bidi w:val="0"/>
        <w:spacing w:lineRule="auto" w:line="288" w:before="180" w:after="283"/>
        <w:ind w:left="0" w:right="0" w:firstLine="252"/>
        <w:jc w:val="left"/>
        <w:rPr/>
      </w:pPr>
      <w:r>
        <w:rPr>
          <w:rFonts w:ascii="Times New Roman;serif" w:hAnsi="Times New Roman;serif"/>
          <w:b w:val="false"/>
          <w:i/>
          <w:color w:val="000000"/>
          <w:sz w:val="20"/>
        </w:rPr>
        <w:t>Key Highlights</w:t>
      </w:r>
      <w:r>
        <w:rPr>
          <w:rFonts w:ascii="Times New Roman;serif" w:hAnsi="Times New Roman;serif"/>
          <w:b w:val="false"/>
          <w:color w:val="000000"/>
          <w:sz w:val="13"/>
        </w:rPr>
        <w:t>5</w:t>
      </w:r>
      <w:r>
        <w:rPr>
          <w:rFonts w:ascii="Times New Roman;serif" w:hAnsi="Times New Roman;serif"/>
          <w:b w:val="false"/>
          <w:color w:val="000000"/>
          <w:sz w:val="20"/>
        </w:rPr>
        <w: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 xml:space="preserve">Net interest income increased significantly quarter over quarter. Earnings from unconsolidated entities remained strong, while gains on hedges more than offset net realized and unrealized losses. </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Excellent performance across most of the portfolio, led by our residential credit strategies — including non-QM loans, Agency-eligible loans, residential transition loan retained tranches, closed-end second lien retained tranches, non-Agency RMBS, and forward MSR-related investments — as well as CLOs, corporate debt and equity, and equity investments in loan originators. Weaker results in CMBS, residential REO, and other loans and ABS.</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Strong credit performance across our loan businesses, including continued low life-to-date realized credit losses in both our residential and commercial loan portfolios.</w:t>
      </w:r>
    </w:p>
    <w:p>
      <w:pPr>
        <w:pStyle w:val="TextBody"/>
        <w:bidi w:val="0"/>
        <w:spacing w:lineRule="auto" w:line="288" w:before="180" w:after="283"/>
        <w:jc w:val="left"/>
        <w:rPr/>
      </w:pPr>
      <w:r>
        <w:rPr>
          <w:rFonts w:ascii="Times New Roman;serif" w:hAnsi="Times New Roman;serif"/>
          <w:b w:val="false"/>
          <w:color w:val="000000"/>
          <w:sz w:val="20"/>
        </w:rPr>
        <w:t>During the quarter, the net interest margin</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on our investment portfolio declined slightly to 3.36% from 3.37%, as slightly higher asset yields were more than offset by slightly higher funding costs. We continued to benefit from positive carry on our interest rate swap hedges, driven by our interest rate swaps where our weighted average receive rate exceeded our weighted average pay rate, although this benefit moderated quarter over quarter.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Longbridge Segment</w:t>
      </w:r>
    </w:p>
    <w:p>
      <w:pPr>
        <w:pStyle w:val="TextBody"/>
        <w:bidi w:val="0"/>
        <w:spacing w:lineRule="auto" w:line="288" w:before="90" w:after="283"/>
        <w:jc w:val="left"/>
        <w:rPr/>
      </w:pPr>
      <w:r>
        <w:rPr>
          <w:rFonts w:ascii="Times New Roman;serif" w:hAnsi="Times New Roman;serif"/>
          <w:b w:val="false"/>
          <w:color w:val="000000"/>
          <w:sz w:val="20"/>
        </w:rPr>
        <w:t>The Longbridge segment reported net income attributable to common stockholders of $30.2 million. Longbridge originated $589.7 million of loans during the quarter, up 38% from the same period in 2025. We also completed two proprietary reverse mortgage loan securitizations, and the loans securitized more than offset portfolio growth, resulting in a 7% sequential decline in the net Longbridge portfolio</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to $649.3 million as of June 30, 2026. </w:t>
      </w:r>
    </w:p>
    <w:p>
      <w:pPr>
        <w:pStyle w:val="TextBody"/>
        <w:bidi w:val="0"/>
        <w:spacing w:lineRule="auto" w:line="288" w:before="180" w:after="283"/>
        <w:jc w:val="left"/>
        <w:rPr/>
      </w:pPr>
      <w:r>
        <w:rPr>
          <w:rFonts w:ascii="Times New Roman;serif" w:hAnsi="Times New Roman;serif"/>
          <w:b w:val="false"/>
          <w:i/>
          <w:color w:val="000000"/>
          <w:sz w:val="20"/>
        </w:rPr>
        <w:t>Key Highlights</w:t>
      </w:r>
      <w:r>
        <w:rPr>
          <w:rFonts w:ascii="Times New Roman;serif" w:hAnsi="Times New Roman;serif"/>
          <w:b w:val="false"/>
          <w:i/>
          <w:color w:val="000000"/>
          <w:sz w:val="13"/>
        </w:rPr>
        <w:t>5</w:t>
      </w:r>
      <w:r>
        <w:rPr>
          <w:rFonts w:ascii="Times New Roman;serif" w:hAnsi="Times New Roman;serif"/>
          <w:b w:val="false"/>
          <w:i/>
          <w:color w:val="000000"/>
          <w:sz w:val="20"/>
        </w:rPr>
        <w:t>:</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Strong contribution from originations, supported by net gains related to two proprietary reverse mortgage loan securitizations completed during the quarter, and continued robust origination volumes and margins.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Positive contribution from servicing, reflecting strong tail securitization executions and steady base servicing net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gains on enterprise interest rate hedges intended to mitigate the potential impact of higher interest rates on origination profits.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Longbridge's HMBS market share reached a new high of 29% for the quarter, ranking it as the #2 issuer in the market, according to Bloomberg.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Corporate/Other Summary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The net loss in Corporate/Other increased quarter over quarter, as a substantial unrealized loss on our unsecured debt more than offset a significantly lower incentive fee accrual. The primary driver of the unrealized loss on our unsecured debt was credit spread tightening, which reversed much of the credit spread widening experienced in the first quarter, and which was partially offset by the impact of higher interest rates. Higher interest rates also led to losses on the fixed receiver interest rate swaps used to hedge the fixed payments on our unsecured notes and preferred equity.</w:t>
      </w:r>
    </w:p>
    <w:p>
      <w:pPr>
        <w:pStyle w:val="TextBody"/>
        <w:bidi w:val="0"/>
        <w:spacing w:lineRule="auto" w:line="268" w:before="0" w:after="0"/>
        <w:ind w:left="0" w:right="0" w:hanging="9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6"/>
        </w:rPr>
        <w:t>Excludes non-retained tranches of consolidated securitization trusts.</w:t>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16"/>
        </w:rPr>
        <w:t>Sector-level results include associated financing costs and hedging gains/losses, where applicable.</w:t>
      </w:r>
    </w:p>
    <w:p>
      <w:pPr>
        <w:pStyle w:val="TextBody"/>
        <w:bidi w:val="0"/>
        <w:spacing w:lineRule="auto" w:line="288"/>
        <w:ind w:left="0" w:right="0" w:hanging="9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6"/>
        </w:rPr>
        <w:t>Net interest margin represents the weighted average asset yield less the weighted average secured financing cost of funds on such assets. It also includes the effect of actual and accrued periodic payments on interest rate swaps used to hedge the assets.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i/>
          <w:color w:val="000000"/>
          <w:sz w:val="20"/>
        </w:rPr>
        <w:t>Investment Portfolio</w:t>
      </w:r>
      <w:r>
        <w:rPr>
          <w:rFonts w:ascii="Times New Roman;serif" w:hAnsi="Times New Roman;serif"/>
          <w:b/>
          <w:i/>
          <w:color w:val="000000"/>
          <w:sz w:val="13"/>
        </w:rPr>
        <w:t>(1)</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long investment portfolio holdings as of June 30, 2026 and March 31, 2026:</w:t>
      </w:r>
    </w:p>
    <w:tbl>
      <w:tblPr>
        <w:tblW w:w="10205" w:type="dxa"/>
        <w:jc w:val="left"/>
        <w:tblInd w:w="0" w:type="dxa"/>
        <w:tblLayout w:type="fixed"/>
        <w:tblCellMar>
          <w:top w:w="28" w:type="dxa"/>
          <w:left w:w="28" w:type="dxa"/>
          <w:bottom w:w="28" w:type="dxa"/>
          <w:right w:w="28" w:type="dxa"/>
        </w:tblCellMar>
      </w:tblPr>
      <w:tblGrid>
        <w:gridCol w:w="1716"/>
        <w:gridCol w:w="1411"/>
        <w:gridCol w:w="1357"/>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8"/>
      </w:tblGrid>
      <w:tr>
        <w:trPr/>
        <w:tc>
          <w:tcPr>
            <w:tcW w:w="171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March 31, 2026</w:t>
            </w:r>
            <w:r>
              <w:rPr>
                <w:rFonts w:ascii="Times New Roman;serif" w:hAnsi="Times New Roman;serif"/>
                <w:b/>
                <w:color w:val="000000"/>
                <w:sz w:val="12"/>
              </w:rPr>
              <w:t>(2)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denominated: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Agency-eligible residential mortgage loans and retained RMBS</w:t>
            </w:r>
            <w:r>
              <w:rPr>
                <w:rFonts w:ascii="Times New Roman;serif" w:hAnsi="Times New Roman;serif"/>
                <w:b w:val="false"/>
                <w:color w:val="000000"/>
                <w:sz w:val="13"/>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Pass-throughs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Commercial mortgage loans</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Consumer loans and ABS backed by consumer loans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and equity and corporate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Debt and equity investments in loan origination-related entities</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Forward MSR-related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equity line of credit and closed-end second lien loans and retained RMBS</w:t>
            </w:r>
            <w:r>
              <w:rPr>
                <w:rFonts w:ascii="Times New Roman;serif" w:hAnsi="Times New Roman;serif"/>
                <w:b w:val="false"/>
                <w:color w:val="000000"/>
                <w:sz w:val="13"/>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Non-QM loans and retained RMBS</w:t>
            </w:r>
            <w:r>
              <w:rPr>
                <w:rFonts w:ascii="Times New Roman;serif" w:hAnsi="Times New Roman;serif"/>
                <w:b w:val="false"/>
                <w:color w:val="000000"/>
                <w:sz w:val="13"/>
              </w:rPr>
              <w:t xml:space="preserve">(3)(6)(8)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RMBS and interest-only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transition loans and other residential mortgage loans</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w:t>
            </w:r>
            <w:r>
              <w:rPr>
                <w:rFonts w:ascii="Times New Roman;serif" w:hAnsi="Times New Roman;serif"/>
                <w:b w:val="false"/>
                <w:color w:val="000000"/>
                <w:sz w:val="13"/>
              </w:rPr>
              <w:t>(9)(10)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Non-Dollar denominated: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RMBS</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residential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 investment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Non-retained tranches of consolidated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long investment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(1)This information does not include U.S. Treasury securities, securities sold short, or financial derivatives.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(2)Conformed to current period presentation.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related REO. In accordance with U.S. GAAP, REO is not considered a financial instrument and as a result is included at the lower of cost or fair value.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(4)Other residential mortgage loans include secondary market purchases of non-performing and re-performing mortgage loans.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(5)Includes equity investments in unconsolidated entities holding commercial mortgage loans and REO and corporate loans secured by commercial mortgage loans. Such amounts represent the fair value of the underlying commercial mortgage loans net of the financing liabilities of the unconsolidated entity. The aggregate gross fair value of commercial mortgage loans held by us and our respective portion of the loans held by such unconsolidated entities was $1.03 billion and $958.5 million, as of June 30, 2026 and March 31, 2026, respectively.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equity investments in securitization-related vehicles.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(7)Includes corporate loans made to certain loan origination entities in which we hold an equity investment.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(8)Retained RMBS represents RMBS issued by non-consolidated Ellington-sponsored loan securitization trusts, and interests in entities holding such RMBS.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(9)Includes equity investment in Ellington affiliate.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(10)Includes equity investment in an unconsolidated entity which purchases certain other loans for eventual securitization.</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(11)Includes loans to entities which purchase residential mortgage loans for eventual securitization.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Longbridge Portfolio</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Longbridge originates reverse mortgage loans, including (i) home equity conversion mortgage loans, or "HECMs," which are insured by the FHA, and (ii) "proprietary reverse mortgage loans," which are not FHA-insured. HECMs are eligible for inclusion in GNMA-guaranteed HECM-backed MBS, or "HMBS." Upon securitization, the HECMs remain on our balance sheet under GAAP. We have securitized certain proprietary reverse mortgage loans originated by Longbridge and have retained certain related securitization tranches in compliance with credit risk retention rules. Longbridge has typically retained the MSRs associated with the loans it has originated. Longbridge also originates home equity lines of credit, or "HELOCs," designed for homeowners aged 62 or older. </w:t>
      </w:r>
    </w:p>
    <w:p>
      <w:pPr>
        <w:pStyle w:val="TextBody"/>
        <w:bidi w:val="0"/>
        <w:spacing w:lineRule="auto" w:line="288" w:before="180" w:after="283"/>
        <w:jc w:val="left"/>
        <w:rPr/>
      </w:pPr>
      <w:r>
        <w:rPr>
          <w:rFonts w:ascii="Times New Roman;serif" w:hAnsi="Times New Roman;serif"/>
          <w:b w:val="false"/>
          <w:color w:val="000000"/>
          <w:sz w:val="20"/>
        </w:rPr>
        <w:t>The following table summarizes loan-related assets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the Longbridge segment as of June 30, 2026 and March 31, 2026:</w:t>
      </w:r>
    </w:p>
    <w:tbl>
      <w:tblPr>
        <w:tblW w:w="9914" w:type="dxa"/>
        <w:jc w:val="left"/>
        <w:tblInd w:w="0" w:type="dxa"/>
        <w:tblLayout w:type="fixed"/>
        <w:tblCellMar>
          <w:top w:w="28" w:type="dxa"/>
          <w:left w:w="28" w:type="dxa"/>
          <w:bottom w:w="28" w:type="dxa"/>
          <w:right w:w="28" w:type="dxa"/>
        </w:tblCellMar>
      </w:tblPr>
      <w:tblGrid>
        <w:gridCol w:w="2249"/>
        <w:gridCol w:w="1977"/>
        <w:gridCol w:w="1984"/>
        <w:gridCol w:w="109"/>
        <w:gridCol w:w="109"/>
        <w:gridCol w:w="109"/>
        <w:gridCol w:w="211"/>
        <w:gridCol w:w="1081"/>
        <w:gridCol w:w="109"/>
        <w:gridCol w:w="109"/>
        <w:gridCol w:w="109"/>
        <w:gridCol w:w="109"/>
        <w:gridCol w:w="240"/>
        <w:gridCol w:w="1234"/>
        <w:gridCol w:w="175"/>
      </w:tblGrid>
      <w:tr>
        <w:trPr/>
        <w:tc>
          <w:tcPr>
            <w:tcW w:w="224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March 31, 2026</w:t>
            </w:r>
            <w:r>
              <w:rPr>
                <w:rFonts w:ascii="Times New Roman;serif" w:hAnsi="Times New Roman;serif"/>
                <w:b/>
                <w:color w:val="000000"/>
                <w:sz w:val="13"/>
              </w:rPr>
              <w:t>(2)</w:t>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HMBS assets</w:t>
            </w:r>
            <w:r>
              <w:rPr>
                <w:rFonts w:ascii="Times New Roman;serif" w:hAnsi="Times New Roman;serif"/>
                <w:b w:val="false"/>
                <w:color w:val="000000"/>
                <w:sz w:val="13"/>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10,893,878 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HMBS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(10,765,668)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HMBS MSR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Unsecuritized HECM loans</w:t>
            </w:r>
            <w:r>
              <w:rPr>
                <w:rFonts w:ascii="Times New Roman;serif" w:hAnsi="Times New Roman;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178,562 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Proprietary reverse mortgage loans</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1,974,539 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MSRs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2,311,503 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Non-retained tranches of consolidated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1,616,404 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excluding non-retained tranches of consolidated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695,099 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(1)This information does not include financial derivatives or loan commitments.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(2)Conformed to current period presentation.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HECM loans, related REO, and claims or other receivables.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(4)When Longbridge pools HECM loans into HMBS, such transfers do not qualify as sales under U.S. GAAP, and as a result, such transactions are treated as secured borrowings on our Consolidated Balance Sheet; the pooled HECM loans are included in Loans, at fair value, and the related liabilities are reflected as HMBS-related obligations, at fair value. After pooling the HECM loans into HMBS, Longbridge retains the mortgage servicing rights associated with such HECM loans (the "HMBS MSR").</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(5)As of June 30, 2026, includes $26.9 million of active HECM buyout loans, $21.3 million of inactive HECM buyout loans, $7.5 million of other inactive HECM loans, and $5.0 million of REO. As of March 31, 2026, includes $21.7 million of active HECM buyout loans, $19.9 million of inactive HECM buyout loans, $6.6 million of other inactive HECM loans, and $5.7 million of REO.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REO. In accordance with U.S. GAAP, REO is not considered a financial instrument and as a result is included at the lower of cost or fair value.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(7)As of June 30, 2026, includes $2.0 billion of securitized proprietary reverse mortgage loans and related REO, $30.5 million of cash held in a securitization reserve fund, and $30.8 million of investment related receivables. As of March 31, 2026, includes $1.6 billion of securitized proprietary reverse mortgage loans and related REO, $26.2 million of cash held in a securitization reserve fund, and $13.9 million of investment related receivables.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Longbridge's origination volumes by product and channel for the three-month periods ended June 30, 2026 and March 31, 2026:</w:t>
      </w:r>
    </w:p>
    <w:tbl>
      <w:tblPr>
        <w:tblW w:w="10205" w:type="dxa"/>
        <w:jc w:val="left"/>
        <w:tblInd w:w="0" w:type="dxa"/>
        <w:tblLayout w:type="fixed"/>
        <w:tblCellMar>
          <w:top w:w="28" w:type="dxa"/>
          <w:left w:w="28" w:type="dxa"/>
          <w:bottom w:w="28" w:type="dxa"/>
          <w:right w:w="28" w:type="dxa"/>
        </w:tblCellMar>
      </w:tblPr>
      <w:tblGrid>
        <w:gridCol w:w="525"/>
        <w:gridCol w:w="462"/>
        <w:gridCol w:w="466"/>
        <w:gridCol w:w="109"/>
        <w:gridCol w:w="109"/>
        <w:gridCol w:w="109"/>
        <w:gridCol w:w="308"/>
        <w:gridCol w:w="308"/>
        <w:gridCol w:w="181"/>
        <w:gridCol w:w="109"/>
        <w:gridCol w:w="109"/>
        <w:gridCol w:w="109"/>
        <w:gridCol w:w="237"/>
        <w:gridCol w:w="930"/>
        <w:gridCol w:w="122"/>
        <w:gridCol w:w="109"/>
        <w:gridCol w:w="109"/>
        <w:gridCol w:w="109"/>
        <w:gridCol w:w="285"/>
        <w:gridCol w:w="285"/>
        <w:gridCol w:w="713"/>
        <w:gridCol w:w="109"/>
        <w:gridCol w:w="109"/>
        <w:gridCol w:w="109"/>
        <w:gridCol w:w="308"/>
        <w:gridCol w:w="308"/>
        <w:gridCol w:w="181"/>
        <w:gridCol w:w="109"/>
        <w:gridCol w:w="109"/>
        <w:gridCol w:w="109"/>
        <w:gridCol w:w="237"/>
        <w:gridCol w:w="930"/>
        <w:gridCol w:w="122"/>
        <w:gridCol w:w="109"/>
        <w:gridCol w:w="109"/>
        <w:gridCol w:w="109"/>
        <w:gridCol w:w="270"/>
        <w:gridCol w:w="270"/>
        <w:gridCol w:w="795"/>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New Loan Origination Volume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of New Loan Origination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New Loan Origination Volume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of New Loan Origination Volume</w:t>
            </w:r>
          </w:p>
        </w:tc>
      </w:tr>
      <w:tr>
        <w:trPr/>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HECM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and correspondent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HECM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273,497 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Proprietary reverse mortgage loans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and correspondent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proprietary reverse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316,157 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276,030 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589,654 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9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initial borrowed amounts on reverse mortgage loans.</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HELOCs.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U.S. GAAP, HECM loans remain on our balance sheet after securitization. The carrying value of the HMBS assets net of the HMBS liabilities, approximates the value of the HMBS MSR. The following table presents a rollforward of the HMBS MSR for the three-month periods ended June 30, 2026 and March 31, 2026:</w:t>
      </w:r>
    </w:p>
    <w:tbl>
      <w:tblPr>
        <w:tblW w:w="7147"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34"/>
        <w:gridCol w:w="919"/>
        <w:gridCol w:w="121"/>
        <w:gridCol w:w="109"/>
        <w:gridCol w:w="109"/>
        <w:gridCol w:w="109"/>
        <w:gridCol w:w="263"/>
        <w:gridCol w:w="1030"/>
        <w:gridCol w:w="192"/>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 Period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and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128,210 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profit (loss) related to the HMBS MSR, as discussed above, for the three-month periods ended June 30, 2026 and March 31, 2026:</w:t>
      </w:r>
    </w:p>
    <w:tbl>
      <w:tblPr>
        <w:tblW w:w="7147"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58"/>
        <w:gridCol w:w="885"/>
        <w:gridCol w:w="132"/>
        <w:gridCol w:w="109"/>
        <w:gridCol w:w="109"/>
        <w:gridCol w:w="109"/>
        <w:gridCol w:w="287"/>
        <w:gridCol w:w="987"/>
        <w:gridCol w:w="210"/>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 Period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and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Gains (losses) on associated hedges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our purchased MSRs and MSRs retained on certain proprietary reverse mortgage loans, which are reported on our Condensed Consolidated Balance Sheet as Mortgage servicing rights, at fair value, for the three-month periods ended June 30, 2026 and March 31, 2026:</w:t>
      </w:r>
    </w:p>
    <w:tbl>
      <w:tblPr>
        <w:tblW w:w="7147" w:type="dxa"/>
        <w:jc w:val="center"/>
        <w:tblInd w:w="0" w:type="dxa"/>
        <w:tblLayout w:type="fixed"/>
        <w:tblCellMar>
          <w:top w:w="28" w:type="dxa"/>
          <w:left w:w="28" w:type="dxa"/>
          <w:bottom w:w="28" w:type="dxa"/>
          <w:right w:w="28" w:type="dxa"/>
        </w:tblCellMar>
      </w:tblPr>
      <w:tblGrid>
        <w:gridCol w:w="1353"/>
        <w:gridCol w:w="1189"/>
        <w:gridCol w:w="1192"/>
        <w:gridCol w:w="109"/>
        <w:gridCol w:w="109"/>
        <w:gridCol w:w="109"/>
        <w:gridCol w:w="258"/>
        <w:gridCol w:w="885"/>
        <w:gridCol w:w="132"/>
        <w:gridCol w:w="109"/>
        <w:gridCol w:w="109"/>
        <w:gridCol w:w="109"/>
        <w:gridCol w:w="287"/>
        <w:gridCol w:w="987"/>
        <w:gridCol w:w="210"/>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 Period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and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profit (loss) on our MSRs, as discussed above, for the three-month periods ended June 30, 2026 and March 31, 2026:</w:t>
      </w:r>
    </w:p>
    <w:tbl>
      <w:tblPr>
        <w:tblW w:w="7181" w:type="dxa"/>
        <w:jc w:val="center"/>
        <w:tblInd w:w="0" w:type="dxa"/>
        <w:tblLayout w:type="fixed"/>
        <w:tblCellMar>
          <w:top w:w="28" w:type="dxa"/>
          <w:left w:w="28" w:type="dxa"/>
          <w:bottom w:w="28" w:type="dxa"/>
          <w:right w:w="28" w:type="dxa"/>
        </w:tblCellMar>
      </w:tblPr>
      <w:tblGrid>
        <w:gridCol w:w="1353"/>
        <w:gridCol w:w="1189"/>
        <w:gridCol w:w="1192"/>
        <w:gridCol w:w="109"/>
        <w:gridCol w:w="109"/>
        <w:gridCol w:w="109"/>
        <w:gridCol w:w="287"/>
        <w:gridCol w:w="840"/>
        <w:gridCol w:w="148"/>
        <w:gridCol w:w="120"/>
        <w:gridCol w:w="120"/>
        <w:gridCol w:w="120"/>
        <w:gridCol w:w="319"/>
        <w:gridCol w:w="934"/>
        <w:gridCol w:w="232"/>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 Period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and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associated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ind w:left="0" w:right="0" w:firstLine="45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Financing</w:t>
      </w:r>
    </w:p>
    <w:p>
      <w:pPr>
        <w:pStyle w:val="TextBody"/>
        <w:bidi w:val="0"/>
        <w:spacing w:lineRule="auto" w:line="288" w:before="90" w:after="283"/>
        <w:ind w:left="0" w:right="0" w:firstLine="252"/>
        <w:jc w:val="left"/>
        <w:rPr>
          <w:rFonts w:ascii="Times New Roman;serif" w:hAnsi="Times New Roman;serif"/>
          <w:b w:val="false"/>
          <w:i/>
          <w:color w:val="000000"/>
          <w:sz w:val="20"/>
        </w:rPr>
      </w:pPr>
      <w:r>
        <w:rPr>
          <w:rFonts w:ascii="Times New Roman;serif" w:hAnsi="Times New Roman;serif"/>
          <w:b w:val="false"/>
          <w:i/>
          <w:color w:val="000000"/>
          <w:sz w:val="20"/>
        </w:rPr>
        <w:t>Key Highlights:</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Recourse Debt-to-Equity Ratio, excluding borrowings collateralized by U.S. Treasury securities and adjusted for unsettled purchases and sales, was unchanged at 1.9:1 as of both June 30, 2026 and March 31, 2026, as higher repo borrowings were largely offset by growth in total equity.</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 xml:space="preserve">Overall Debt-to-Equity Ratio, excluding borrowings collateralized by U.S. Treasury securities and adjusted for unsettled purchases and sales, increased modestly to 9.2:1 as of June 30, 2026 from 9.0:1 as of March 31, 2026, primarily reflecting higher non-recourse borrowings associated with recent securitization activity.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outstanding borrowings and debt-to-equity ratios as of June 30, 2026 and March 31, 2026:</w:t>
      </w:r>
    </w:p>
    <w:tbl>
      <w:tblPr>
        <w:tblW w:w="10205" w:type="dxa"/>
        <w:jc w:val="left"/>
        <w:tblInd w:w="0" w:type="dxa"/>
        <w:tblLayout w:type="fixed"/>
        <w:tblCellMar>
          <w:top w:w="28" w:type="dxa"/>
          <w:left w:w="28" w:type="dxa"/>
          <w:bottom w:w="28" w:type="dxa"/>
          <w:right w:w="28" w:type="dxa"/>
        </w:tblCellMar>
      </w:tblPr>
      <w:tblGrid>
        <w:gridCol w:w="1075"/>
        <w:gridCol w:w="858"/>
        <w:gridCol w:w="863"/>
        <w:gridCol w:w="109"/>
        <w:gridCol w:w="109"/>
        <w:gridCol w:w="109"/>
        <w:gridCol w:w="235"/>
        <w:gridCol w:w="1205"/>
        <w:gridCol w:w="121"/>
        <w:gridCol w:w="109"/>
        <w:gridCol w:w="109"/>
        <w:gridCol w:w="109"/>
        <w:gridCol w:w="487"/>
        <w:gridCol w:w="487"/>
        <w:gridCol w:w="488"/>
        <w:gridCol w:w="109"/>
        <w:gridCol w:w="109"/>
        <w:gridCol w:w="109"/>
        <w:gridCol w:w="235"/>
        <w:gridCol w:w="1205"/>
        <w:gridCol w:w="121"/>
        <w:gridCol w:w="109"/>
        <w:gridCol w:w="109"/>
        <w:gridCol w:w="109"/>
        <w:gridCol w:w="442"/>
        <w:gridCol w:w="442"/>
        <w:gridCol w:w="633"/>
      </w:tblGrid>
      <w:tr>
        <w:trPr/>
        <w:tc>
          <w:tcPr>
            <w:tcW w:w="10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Outstanding Borrowings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Debt-to-Equity Ratio</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Outstanding Borrowings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Debt-to-Equity Ratio</w:t>
            </w:r>
            <w:r>
              <w:rPr>
                <w:rFonts w:ascii="Times New Roman;serif" w:hAnsi="Times New Roman;serif"/>
                <w:b/>
                <w:color w:val="000000"/>
                <w:sz w:val="12"/>
              </w:rPr>
              <w:t>(2)</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Recourse borrowings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3,984,015 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3,822,166 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Non-recourse borrowings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14,509,085 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18,493,100 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17,713,166 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1,999,436 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1,957,988 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Recourse borrowings excluding borrowings collateralized by U.S. Treasury securities, adjusted for unsettled purchases and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borrowings excluding borrowings collateralized by U.S. Treasury securities, adjusted for unsettled purchases and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r>
    </w:tbl>
    <w:p>
      <w:pPr>
        <w:pStyle w:val="TextBody"/>
        <w:bidi w:val="0"/>
        <w:spacing w:lineRule="auto" w:line="288" w:before="9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(1)Includes borrowings under repurchase agreements, other secured borrowings, other secured borrowings, at fair value, and unsecured debt, at par.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(2)Recourse and overall debt-to-equity ratios are computed by dividing outstanding recourse and overall borrowings, respectively, by total equity. Debt-to-equity ratios do not account for liabilities other than debt financings.</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(3)All of our non-recourse borrowings are secured by collateral. In the event of default under a non-recourse borrowing, the lender has a claim against the collateral but not any of the other assets held by us or our consolidated subsidiaries. In the event of default under a recourse borrowing, the lender's claim is not limited to the collateral (if any).</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Results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operating results by segment for the three-month period ended June 30, 2026:</w:t>
      </w:r>
    </w:p>
    <w:tbl>
      <w:tblPr>
        <w:tblW w:w="10205" w:type="dxa"/>
        <w:jc w:val="left"/>
        <w:tblInd w:w="0" w:type="dxa"/>
        <w:tblLayout w:type="fixed"/>
        <w:tblCellMar>
          <w:top w:w="28" w:type="dxa"/>
          <w:left w:w="28" w:type="dxa"/>
          <w:bottom w:w="28" w:type="dxa"/>
          <w:right w:w="28" w:type="dxa"/>
        </w:tblCellMar>
      </w:tblPr>
      <w:tblGrid>
        <w:gridCol w:w="1482"/>
        <w:gridCol w:w="1041"/>
        <w:gridCol w:w="1044"/>
        <w:gridCol w:w="243"/>
        <w:gridCol w:w="915"/>
        <w:gridCol w:w="135"/>
        <w:gridCol w:w="109"/>
        <w:gridCol w:w="109"/>
        <w:gridCol w:w="109"/>
        <w:gridCol w:w="207"/>
        <w:gridCol w:w="683"/>
        <w:gridCol w:w="116"/>
        <w:gridCol w:w="109"/>
        <w:gridCol w:w="109"/>
        <w:gridCol w:w="109"/>
        <w:gridCol w:w="223"/>
        <w:gridCol w:w="788"/>
        <w:gridCol w:w="124"/>
        <w:gridCol w:w="109"/>
        <w:gridCol w:w="109"/>
        <w:gridCol w:w="109"/>
        <w:gridCol w:w="196"/>
        <w:gridCol w:w="736"/>
        <w:gridCol w:w="109"/>
        <w:gridCol w:w="109"/>
        <w:gridCol w:w="109"/>
        <w:gridCol w:w="109"/>
        <w:gridCol w:w="203"/>
        <w:gridCol w:w="485"/>
        <w:gridCol w:w="167"/>
      </w:tblGrid>
      <w:tr>
        <w:trPr/>
        <w:tc>
          <w:tcPr>
            <w:tcW w:w="148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 and other income</w:t>
            </w:r>
            <w:r>
              <w:rPr>
                <w:rFonts w:ascii="Times New Roman;serif" w:hAnsi="Times New Roman;serif"/>
                <w:b w:val="false"/>
                <w:color w:val="000000"/>
                <w:sz w:val="12"/>
              </w:rPr>
              <w:t>(1)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(loss),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net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from reverse mortgage loans and HMBS obligations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in unconsolidated entities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rate hedges and other activity, net</w:t>
            </w:r>
            <w:r>
              <w:rPr>
                <w:rFonts w:ascii="Times New Roman;serif" w:hAnsi="Times New Roman;serif"/>
                <w:b w:val="false"/>
                <w:color w:val="000000"/>
                <w:sz w:val="12"/>
              </w:rPr>
              <w:t>(2)</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Credit hedges and other activities, net</w:t>
            </w:r>
            <w:r>
              <w:rPr>
                <w:rFonts w:ascii="Times New Roman;serif" w:hAnsi="Times New Roman;serif"/>
                <w:b w:val="false"/>
                <w:color w:val="000000"/>
                <w:sz w:val="12"/>
              </w:rPr>
              <w:t>(3)</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transaction related expenses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non-participating non-controlling interests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and participating non-controlling interests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(49,329)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participating non-controlling interests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per share of common stock</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Weighted average shares of common stock and convertible units</w:t>
            </w: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outstanding</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common stock outstanding</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56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(1)Other income primarily consists of rental income on real estate owned, loan origination fees, and servicing income.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U.S. Treasury securities, if applicable.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(3)Other activities include certain equity and other trading strategies and related hedges, and net realized and unrealized gains (losses) on foreign currency.</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(4)Convertible units include Operating Partnership units attributable to participating non-controlling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by segment for the three-month period ended March 31, 2026: </w:t>
      </w:r>
    </w:p>
    <w:tbl>
      <w:tblPr>
        <w:tblW w:w="10205" w:type="dxa"/>
        <w:jc w:val="left"/>
        <w:tblInd w:w="0" w:type="dxa"/>
        <w:tblLayout w:type="fixed"/>
        <w:tblCellMar>
          <w:top w:w="28" w:type="dxa"/>
          <w:left w:w="28" w:type="dxa"/>
          <w:bottom w:w="28" w:type="dxa"/>
          <w:right w:w="28" w:type="dxa"/>
        </w:tblCellMar>
      </w:tblPr>
      <w:tblGrid>
        <w:gridCol w:w="1482"/>
        <w:gridCol w:w="1041"/>
        <w:gridCol w:w="1044"/>
        <w:gridCol w:w="243"/>
        <w:gridCol w:w="915"/>
        <w:gridCol w:w="135"/>
        <w:gridCol w:w="109"/>
        <w:gridCol w:w="109"/>
        <w:gridCol w:w="109"/>
        <w:gridCol w:w="207"/>
        <w:gridCol w:w="683"/>
        <w:gridCol w:w="116"/>
        <w:gridCol w:w="109"/>
        <w:gridCol w:w="109"/>
        <w:gridCol w:w="109"/>
        <w:gridCol w:w="223"/>
        <w:gridCol w:w="788"/>
        <w:gridCol w:w="124"/>
        <w:gridCol w:w="109"/>
        <w:gridCol w:w="109"/>
        <w:gridCol w:w="109"/>
        <w:gridCol w:w="196"/>
        <w:gridCol w:w="736"/>
        <w:gridCol w:w="109"/>
        <w:gridCol w:w="109"/>
        <w:gridCol w:w="109"/>
        <w:gridCol w:w="109"/>
        <w:gridCol w:w="203"/>
        <w:gridCol w:w="485"/>
        <w:gridCol w:w="167"/>
      </w:tblGrid>
      <w:tr>
        <w:trPr/>
        <w:tc>
          <w:tcPr>
            <w:tcW w:w="148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 and other income</w:t>
            </w:r>
            <w:r>
              <w:rPr>
                <w:rFonts w:ascii="Times New Roman;serif" w:hAnsi="Times New Roman;serif"/>
                <w:b w:val="false"/>
                <w:color w:val="000000"/>
                <w:sz w:val="12"/>
              </w:rPr>
              <w:t>(1)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(loss),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net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from reverse mortgage loans and HMBS obligations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in unconsolidated entities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rate hedges and other activity, net</w:t>
            </w:r>
            <w:r>
              <w:rPr>
                <w:rFonts w:ascii="Times New Roman;serif" w:hAnsi="Times New Roman;serif"/>
                <w:b w:val="false"/>
                <w:color w:val="000000"/>
                <w:sz w:val="12"/>
              </w:rPr>
              <w:t>(2)</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Credit hedges and other activities, net</w:t>
            </w:r>
            <w:r>
              <w:rPr>
                <w:rFonts w:ascii="Times New Roman;serif" w:hAnsi="Times New Roman;serif"/>
                <w:b w:val="false"/>
                <w:color w:val="000000"/>
                <w:sz w:val="12"/>
              </w:rPr>
              <w:t>(3)</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transaction related expenses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 of redeemed preferred stock</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non-participating non-controlling interests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and participating non-controlling interests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76,375 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participating non-controlling interests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76,375 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per share of common stock</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Weighted average shares of common stock and convertible units</w:t>
            </w: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outstanding</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common stock outstanding</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(1)Other income primarily consists of rental income on real estate owned, loan origination fees, and servicing income. Included in the Longbridge segment is also $17.0 million of litigation settlement income.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U.S. Treasury securities, if applicable.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(3)Other activities include certain equity and other trading strategies and related hedges, and net realized and unrealized gains (losses) on foreign currency.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(4)Convertible units include Operating Partnership units attributable to participating non-controlling interests.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We will host a conference call at 11:00 a.m. Eastern Time on Friday, August 7, 2026, to discuss our financial results for the quarter ended June 30, 2026. To participate in the event by telephone, please dial (800) 343-4136 at least 10 minutes prior to the start time and reference the conference ID EFCQ226. International callers should dial (203) 518-9843 and reference the same conference ID. The conference call will also be webcast live over the Internet and can be accessed via the "For Investors" section of our web site at www.ellingtonfinancial.com. To listen to the live webcast, please visit www.ellingtonfinancial.com at least 15 minutes prior to the start of the call to register, download, and install necessary audio software. In connection with the release of these financial results, we also posted an investor presentation, that will accompany the conference call, on our website at www.ellingtonfinancial.com under "For Investors—Presentations."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dial-in replay of the conference call will be available on Friday, August 7, 2026, at approximately 2:00 p.m. Eastern Time through Friday, August 14, 2026 at approximately 11:59 p.m. Eastern Time. To access this replay, please dial (800) 723-5759. International callers should dial (402) 220-2662. A replay of the conference call will also be archived on our web site at www.ellingtonfinancial.com.</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may be described from time to time in reports we file with the SEC, including reports on Forms 10-Q, 10-K and 8-K.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23"/>
        <w:gridCol w:w="1618"/>
        <w:gridCol w:w="1630"/>
        <w:gridCol w:w="221"/>
        <w:gridCol w:w="870"/>
        <w:gridCol w:w="114"/>
        <w:gridCol w:w="109"/>
        <w:gridCol w:w="109"/>
        <w:gridCol w:w="109"/>
        <w:gridCol w:w="236"/>
        <w:gridCol w:w="926"/>
        <w:gridCol w:w="122"/>
        <w:gridCol w:w="109"/>
        <w:gridCol w:w="109"/>
        <w:gridCol w:w="109"/>
        <w:gridCol w:w="298"/>
        <w:gridCol w:w="1169"/>
        <w:gridCol w:w="224"/>
      </w:tblGrid>
      <w:tr>
        <w:trPr/>
        <w:tc>
          <w:tcPr>
            <w:tcW w:w="212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Six-Month Period Ended</w:t>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NET INTEREST INCOME </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320,340 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(Loss)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 on securities and loans,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 on financial derivatives,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 on real estate owned,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securities and loans,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financial derivatives,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real estate owned,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other secured borrowings, at fair value,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unsecured borrowings, at fair value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from HECM reverse mortgage loans, at fair value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387,053 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related to HMBS obligations, at fair value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(315,248)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income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(loss)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160,862 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management fee to affiliate, net of rebates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 to affiliate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transaction related expenses: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expense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issuance costs related to Other secured borrowings, at fair value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Net Income (Loss) before Income Tax Expense (Benefit) and Earnings from Investments in Unconsolidated Entities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(losses) from investments in unconsolidated entities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of redeemed preferred stock</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Stockholders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 outstanding</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Weighted average shares of common stock and convertible units outstanding</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ELLINGTON FINANCIAL INC.</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CONDENSED CONSOLIDATED BALANCE SHEETS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364"/>
        <w:gridCol w:w="1605"/>
        <w:gridCol w:w="1616"/>
        <w:gridCol w:w="196"/>
        <w:gridCol w:w="961"/>
        <w:gridCol w:w="109"/>
        <w:gridCol w:w="109"/>
        <w:gridCol w:w="109"/>
        <w:gridCol w:w="109"/>
        <w:gridCol w:w="196"/>
        <w:gridCol w:w="965"/>
        <w:gridCol w:w="109"/>
        <w:gridCol w:w="109"/>
        <w:gridCol w:w="109"/>
        <w:gridCol w:w="109"/>
        <w:gridCol w:w="213"/>
        <w:gridCol w:w="1045"/>
        <w:gridCol w:w="172"/>
      </w:tblGrid>
      <w:tr>
        <w:trPr/>
        <w:tc>
          <w:tcPr>
            <w:tcW w:w="236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5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December 31, 2025</w:t>
            </w:r>
            <w:r>
              <w:rPr>
                <w:rFonts w:ascii="Times New Roman;serif" w:hAnsi="Times New Roman;serif"/>
                <w:b/>
                <w:color w:val="000000"/>
                <w:sz w:val="12"/>
              </w:rPr>
              <w:t>(1)</w:t>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1,034,882 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16,640,647 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commitments,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MSR-related investments,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servicing rights,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owned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Financial derivatives–assets, at fair value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Reverse 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brokers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receivables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21,029,547 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20,233,096 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19,352,910 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short,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2,655,444 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Financial derivatives–liabilities, at fair value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brokers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payables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secured borrowings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secured borrowings,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2,945,578 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HMBS-related obligations,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10,406,332 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borrowings,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 management fee payable to affiliate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 payable to affiliate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payable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17,481,755 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per share, 100,000,000 shares authorized; 9,200,089, 9,200,089, and 13,800,089 shares issued and outstanding, and $230,002, $230,002, and $345,002 aggregate liquidation preference,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Common stock, par value $0.001 per share, 300,000,000 shares authorized, respectively; 127,593,315, 124,649,023 and 113,138,860 shares issued and outstanding, respectively</w:t>
            </w:r>
            <w:r>
              <w:rPr>
                <w:rFonts w:ascii="Times New Roman;serif" w:hAnsi="Times New Roman;serif"/>
                <w:b w:val="false"/>
                <w:color w:val="000000"/>
                <w:sz w:val="12"/>
              </w:rPr>
              <w:t>(2)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1,915,152 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(412,964)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1,834,259 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1,871,155 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19,352,910 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PER SHARE INFORMATION:</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Book Value Per Common Share </w:t>
            </w:r>
            <w:r>
              <w:rPr>
                <w:rFonts w:ascii="Times New Roman;serif" w:hAnsi="Times New Roman;serif"/>
                <w:b w:val="false"/>
                <w:color w:val="000000"/>
                <w:sz w:val="12"/>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(1)Derived from audited financial statements as of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(2)Common shares issued and outstanding at June 30, 2026 includes 2,782,358 shares of common stock issued under our ATM program during the three-month period ended June 30, 2026.</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(3)Based on total stockholders' equity less the aggregate liquidation preference of our preferred stock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Reconciliation of Net Income (Loss) to Adjusted Distributable Earnings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We calculate Adjusted Distributable Earnings as U.S. GAAP net income (loss) as adjusted for: (i) realized and unrealized gain (loss) on securities and loans, REO, mortgage servicing rights, financial derivatives (excluding periodic settlements on interest rate swaps), any borrowings carried at fair value, and foreign currency transactions; (ii) incentive fee to affiliate; (iii) Catch-up Amortization Adjustment (as defined below); (iv) non-cash equity compensation expense; (v) provision for income taxes; (vi) certain non-capitalized transaction costs; and (vii) other income or loss items that are of a non-recurring nature. For certain investments in unconsolidated entities, we include the relevant components of net operating income in Adjusted Distributable Earnings. The incentive fee is calculated based on Adjusted Net Income, a measure defined in our management agreement, rather than on Adjusted Distributable Earnings. Adjusted Net Income takes into account realized and unrealized gains and losses from our investment portfolio, any extraordinary items and certain other items, all of which are excluded from Adjusted Distributable Earnings. The Catch-up Amortization Adjustment is a quarterly adjustment to premium amortization or discount accretion triggered by changes in actual and projected prepayments on our Agency RMBS (accompanied by a corresponding offsetting adjustment to realized and unrealized gains and losses). The adjustment is calculated as of the beginning of each quarter based on our then-current assumptions about cashflows and prepayments, and can vary significantly from quarter to quarter. Non-capitalized transaction costs include expenses, generally professional fees, incurred in connection with the acquisition of an investment or issuance of long-term debt. We also include in Adjusted Distributable Earnings, for all loans that we originate through Longbridge, any realized and unrealized gains (losses) on such loans up to the point of loan sale or securitization, net of sale or securitization costs; and any realized and unrealized gains (losses) on HECM buyout loans and REO related to Longbridge's servicing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Adjusted Distributable Earnings is a supplemental non-GAAP financial measure. We believe that the presentation of Adjusted Distributable Earnings provides information useful to investors, because: (i) we believe that it is a useful indicator of both current and projected long-term financial performance, in that it excludes the impact of certain current-period earnings components that we believe are less useful in forecasting long-term performance and dividend-paying ability; (ii) we use it to evaluate the effective net yield provided (a) by our investment portfolio, after the effects of financial leverage, and (b) by Longbridge, to reflect the earnings from its reverse mortgage origination and servicing operations; and (iii) we believe that presenting Adjusted Distributable Earnings assists investors in measuring and evaluating our operating performance, and comparing our operating performance to that of our residential mortgage REIT and mortgage originator peers. Please note, however, that: (I) our calculation of Adjusted Distributable Earnings may differ from the calculation of similarly titled non-GAAP financial measures by our peers, with the result that these non-GAAP financial measures might not be directly comparable; and (II) Adjusted Distributable Earnings excludes certain items that may impact the amount of cash that is actually available for distribution.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because Adjusted Distributable Earnings is an incomplete measure of our financial results and differs from net income (loss) computed in accordance with U.S. GAAP, it should be considered supplementary to, and not as a substitute for, net income (loss) computed in accordance with U.S. GAAP.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Furthermore, Adjusted Distributable Earnings is different from REIT taxable income. As a result, the determination of whether we have met the requirement to distribute at least 90% of our annual REIT taxable income (subject to certain adjustments) to our stockholders, in order to maintain our qualification as a REIT, is not based on whether we distributed 90% of our Adjusted Distributable Earnings.</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setting our dividends, our Board of Directors considers our earnings, liquidity, financial condition, REIT distribution requirements, and financial covenants, along with other factors that the Board of Directors may deem relevant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for the three-month periods ended June 30, 2026 and March 31, 2026, our Adjusted Distributable Earnings to the line on our Condensed Consolidated Statement of Operations entitled Net Income (Loss), which we believe is the most directly comparable U.S. GAAP measure:</w:t>
      </w:r>
    </w:p>
    <w:tbl>
      <w:tblPr>
        <w:tblW w:w="11453" w:type="dxa"/>
        <w:jc w:val="center"/>
        <w:tblInd w:w="0" w:type="dxa"/>
        <w:tblLayout w:type="fixed"/>
        <w:tblCellMar>
          <w:top w:w="28" w:type="dxa"/>
          <w:left w:w="28" w:type="dxa"/>
          <w:bottom w:w="28" w:type="dxa"/>
          <w:right w:w="28" w:type="dxa"/>
        </w:tblCellMar>
      </w:tblPr>
      <w:tblGrid>
        <w:gridCol w:w="675"/>
        <w:gridCol w:w="277"/>
        <w:gridCol w:w="279"/>
        <w:gridCol w:w="201"/>
        <w:gridCol w:w="662"/>
        <w:gridCol w:w="113"/>
        <w:gridCol w:w="109"/>
        <w:gridCol w:w="109"/>
        <w:gridCol w:w="109"/>
        <w:gridCol w:w="207"/>
        <w:gridCol w:w="683"/>
        <w:gridCol w:w="116"/>
        <w:gridCol w:w="109"/>
        <w:gridCol w:w="109"/>
        <w:gridCol w:w="109"/>
        <w:gridCol w:w="196"/>
        <w:gridCol w:w="661"/>
        <w:gridCol w:w="109"/>
        <w:gridCol w:w="109"/>
        <w:gridCol w:w="109"/>
        <w:gridCol w:w="109"/>
        <w:gridCol w:w="196"/>
        <w:gridCol w:w="646"/>
        <w:gridCol w:w="109"/>
        <w:gridCol w:w="109"/>
        <w:gridCol w:w="109"/>
        <w:gridCol w:w="109"/>
        <w:gridCol w:w="201"/>
        <w:gridCol w:w="662"/>
        <w:gridCol w:w="113"/>
        <w:gridCol w:w="109"/>
        <w:gridCol w:w="109"/>
        <w:gridCol w:w="109"/>
        <w:gridCol w:w="207"/>
        <w:gridCol w:w="683"/>
        <w:gridCol w:w="116"/>
        <w:gridCol w:w="109"/>
        <w:gridCol w:w="109"/>
        <w:gridCol w:w="109"/>
        <w:gridCol w:w="196"/>
        <w:gridCol w:w="661"/>
        <w:gridCol w:w="109"/>
        <w:gridCol w:w="109"/>
        <w:gridCol w:w="109"/>
        <w:gridCol w:w="109"/>
        <w:gridCol w:w="196"/>
        <w:gridCol w:w="736"/>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Three-Month Period Ended </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Longbridge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Longbridge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before income tax expense (benefit)</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Realized (gains) losses, net</w:t>
            </w:r>
            <w:r>
              <w:rPr>
                <w:rFonts w:ascii="Times New Roman;serif" w:hAnsi="Times New Roman;serif"/>
                <w:b w:val="false"/>
                <w:color w:val="000000"/>
                <w:sz w:val="12"/>
              </w:rPr>
              <w:t>(1)</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(gains) losses, net</w:t>
            </w:r>
            <w:r>
              <w:rPr>
                <w:rFonts w:ascii="Times New Roman;serif" w:hAnsi="Times New Roman;serif"/>
                <w:b w:val="false"/>
                <w:color w:val="000000"/>
                <w:sz w:val="12"/>
              </w:rPr>
              <w:t>(2)</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(gains) losses on reverse MSRs, net of hedging (gains) losses</w:t>
            </w:r>
            <w:r>
              <w:rPr>
                <w:rFonts w:ascii="Times New Roman;serif" w:hAnsi="Times New Roman;serif"/>
                <w:b w:val="false"/>
                <w:color w:val="000000"/>
                <w:sz w:val="12"/>
              </w:rPr>
              <w:t>(3)</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 to affiliate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Negative (positive) component of interest income represented by Catch-up Amortization Adjustment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Adjustment related to consolidated proprietary reverse mortgage loan securitizations</w:t>
            </w:r>
            <w:r>
              <w:rPr>
                <w:rFonts w:ascii="Times New Roman;serif" w:hAnsi="Times New Roman;serif"/>
                <w:b w:val="false"/>
                <w:color w:val="000000"/>
                <w:sz w:val="12"/>
              </w:rPr>
              <w:t>(4)</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Non-capitalized transaction costs and other expense adjustments</w:t>
            </w:r>
            <w:r>
              <w:rPr>
                <w:rFonts w:ascii="Times New Roman;serif" w:hAnsi="Times New Roman;serif"/>
                <w:b w:val="false"/>
                <w:color w:val="000000"/>
                <w:sz w:val="12"/>
              </w:rPr>
              <w:t>(5)</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income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losses from investments in unconsolidated entities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(10,975)</w:t>
            </w:r>
          </w:p>
        </w:tc>
        <w:tc>
          <w:tcPr>
            <w:tcW w:w="11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w:t>
            </w:r>
          </w:p>
        </w:tc>
        <w:tc>
          <w:tcPr>
            <w:tcW w:w="11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Adjusted distributable earnings from investments in unconsolidated entities</w:t>
            </w:r>
            <w:r>
              <w:rPr>
                <w:rFonts w:ascii="Times New Roman;serif" w:hAnsi="Times New Roman;serif"/>
                <w:b w:val="false"/>
                <w:color w:val="000000"/>
                <w:sz w:val="12"/>
              </w:rPr>
              <w:t>(6)</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12,623 </w:t>
            </w:r>
          </w:p>
        </w:tc>
        <w:tc>
          <w:tcPr>
            <w:tcW w:w="1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9,584 </w:t>
            </w:r>
          </w:p>
        </w:tc>
        <w:tc>
          <w:tcPr>
            <w:tcW w:w="1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Adjusted Distributable Earnings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Distributable Earnings attributable to non-controlling interests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Distributable Earnings Attributable to Common Stockholders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Distributable Earnings Attributable to Common Stockholders, per share</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realized (gains) losses on securities and loans, REO, financial derivatives (excluding periodic settlements on interest rate swaps), and foreign currency transactions which are components of Other Income (Loss) on the Condensed Consolidated Statement of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unrealized (gains) losses on securities and loans, REO, financial derivatives (excluding periodic settlements on interest rate swaps), borrowings carried at fair value, MSR-related investments, and foreign currency translations which are components of Other Income (Loss) on the Condensed Consolidated Statement of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(3)Represents net change in fair value of the HMBS MSR and Reverse MSRs attributable to changes in market conditions and model assumptions. This adjustment also includes net (gains) losses on certain hedging instruments (including interest rate swaps, futures, and short U.S. Treasury securities), which are components of realized and/or unrealized gains (losses) on financial derivatives, net, realized and/or unrealized gains (losses) on securities and loans, net, interest income, and interest expense on the Condensed Consolidated Statement of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(4)Represents the effect of replacing mortgage loan interest income (net of securitization debt expense) with interest income of the retained tranches.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(5)For the three-month period ended June 30, 2026, includes $1.1 million of other non-capitalized transaction costs and $1.5 million of non-cash equity compensation and depreciation expense and various other expenses. For the three-month period ended March 31, 2026, includes $1.3 million of other non-capitalized transaction costs, $1.2 million of non-cash equity compensation and depreciation expense, and $0.5 million of various other expenses.</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the Company's proportionate share of net interest income, net loan origination income (expense), and operating expenses for certain investments in unconsolidated entities, including certain of its non-consolidated equity investments in loan originators that have been making (or are expected to make) distributions to the Company.</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6828</Words>
  <Characters>40503</Characters>
  <CharactersWithSpaces>46628</CharactersWithSpaces>
  <Paragraphs>1427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